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2B13E4" w:rsidRDefault="002B13E4">
      <w:pPr>
        <w:rPr>
          <w:rFonts w:ascii="Arial Narrow" w:hAnsi="Arial Narrow"/>
          <w:sz w:val="22"/>
          <w:szCs w:val="22"/>
        </w:rPr>
      </w:pPr>
      <w:r w:rsidRPr="002B13E4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9.9pt;margin-top:-.05pt;width:273.35pt;height:39.4pt;z-index:251658240;mso-width-relative:margin;mso-height-relative:margin">
            <v:textbox style="mso-next-textbox:#_x0000_s1028">
              <w:txbxContent>
                <w:p w:rsidR="006D2D4B" w:rsidRPr="006D2D4B" w:rsidRDefault="006D2D4B" w:rsidP="006D2D4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6D2D4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Załącznik nr </w:t>
                  </w:r>
                  <w:r w:rsidR="009E340A">
                    <w:rPr>
                      <w:rFonts w:ascii="Arial Narrow" w:hAnsi="Arial Narrow" w:cs="Calibri"/>
                      <w:sz w:val="22"/>
                      <w:szCs w:val="22"/>
                    </w:rPr>
                    <w:t>5</w:t>
                  </w:r>
                  <w:r w:rsidRPr="006D2D4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 do </w:t>
                  </w:r>
                  <w:r w:rsidR="00891E61"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Procedury</w:t>
                  </w:r>
                  <w:r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realizacji projektów grantowych </w:t>
                  </w:r>
                  <w:r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br/>
                    <w:t>w tym wyboru Grantobiorców</w:t>
                  </w:r>
                </w:p>
                <w:p w:rsidR="006D2D4B" w:rsidRPr="00A136CE" w:rsidRDefault="006D2D4B" w:rsidP="006D2D4B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6D2D4B" w:rsidRDefault="006D2D4B" w:rsidP="006D2D4B"/>
              </w:txbxContent>
            </v:textbox>
          </v:shape>
        </w:pict>
      </w:r>
    </w:p>
    <w:p w:rsidR="001E3EF1" w:rsidRPr="002B13E4" w:rsidRDefault="001E3EF1">
      <w:pPr>
        <w:rPr>
          <w:rFonts w:ascii="Arial Narrow" w:hAnsi="Arial Narrow"/>
          <w:sz w:val="22"/>
          <w:szCs w:val="22"/>
        </w:rPr>
      </w:pPr>
    </w:p>
    <w:p w:rsidR="001E3EF1" w:rsidRPr="002B13E4" w:rsidRDefault="001E3EF1">
      <w:pPr>
        <w:rPr>
          <w:rFonts w:ascii="Arial Narrow" w:hAnsi="Arial Narrow"/>
          <w:sz w:val="22"/>
          <w:szCs w:val="22"/>
        </w:rPr>
      </w:pPr>
    </w:p>
    <w:p w:rsidR="001E3EF1" w:rsidRPr="002B13E4" w:rsidRDefault="001E3EF1">
      <w:pPr>
        <w:rPr>
          <w:rFonts w:ascii="Arial Narrow" w:hAnsi="Arial Narrow"/>
          <w:sz w:val="22"/>
          <w:szCs w:val="22"/>
        </w:rPr>
      </w:pPr>
    </w:p>
    <w:p w:rsidR="00CB435D" w:rsidRPr="002B13E4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2B13E4">
        <w:rPr>
          <w:rFonts w:ascii="Arial Narrow" w:hAnsi="Arial Narrow"/>
          <w:sz w:val="22"/>
          <w:szCs w:val="22"/>
        </w:rPr>
        <w:t>KRYTERIA WYBORU WRA</w:t>
      </w:r>
      <w:r w:rsidR="007C4C02" w:rsidRPr="002B13E4">
        <w:rPr>
          <w:rFonts w:ascii="Arial Narrow" w:hAnsi="Arial Narrow"/>
          <w:sz w:val="22"/>
          <w:szCs w:val="22"/>
        </w:rPr>
        <w:t>Z</w:t>
      </w:r>
      <w:r w:rsidRPr="002B13E4">
        <w:rPr>
          <w:rFonts w:ascii="Arial Narrow" w:hAnsi="Arial Narrow"/>
          <w:sz w:val="22"/>
          <w:szCs w:val="22"/>
        </w:rPr>
        <w:t xml:space="preserve"> Z OPISEM</w:t>
      </w:r>
    </w:p>
    <w:p w:rsidR="009C6031" w:rsidRPr="002B13E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2B13E4" w:rsidRDefault="009B0885" w:rsidP="009C6031">
      <w:pPr>
        <w:jc w:val="both"/>
        <w:rPr>
          <w:rFonts w:ascii="Arial Narrow" w:hAnsi="Arial Narrow"/>
          <w:sz w:val="22"/>
          <w:szCs w:val="22"/>
        </w:rPr>
      </w:pPr>
      <w:r w:rsidRPr="002B13E4"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 w:rsidRPr="002B13E4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 w:rsidRPr="002B13E4">
        <w:rPr>
          <w:rFonts w:ascii="Arial Narrow" w:hAnsi="Arial Narrow"/>
          <w:sz w:val="22"/>
          <w:szCs w:val="22"/>
        </w:rPr>
        <w:t>. Określono punkty należne za poszczególny stopień spełnienia kryterium</w:t>
      </w:r>
      <w:r w:rsidR="00E17F15" w:rsidRPr="002B13E4">
        <w:rPr>
          <w:rFonts w:ascii="Arial Narrow" w:hAnsi="Arial Narrow"/>
          <w:sz w:val="22"/>
          <w:szCs w:val="22"/>
        </w:rPr>
        <w:t xml:space="preserve"> </w:t>
      </w:r>
      <w:r w:rsidRPr="002B13E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2B13E4">
        <w:rPr>
          <w:rFonts w:ascii="Arial Narrow" w:hAnsi="Arial Narrow"/>
          <w:sz w:val="22"/>
          <w:szCs w:val="22"/>
        </w:rPr>
        <w:t>y (wagi)</w:t>
      </w:r>
      <w:r w:rsidRPr="002B13E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2B13E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2B13E4">
        <w:rPr>
          <w:rFonts w:ascii="Arial Narrow" w:hAnsi="Arial Narrow"/>
          <w:sz w:val="22"/>
          <w:szCs w:val="22"/>
        </w:rPr>
        <w:t>Kryteria są adekwatne do diagnozy</w:t>
      </w:r>
      <w:r w:rsidR="00174752" w:rsidRPr="002B13E4">
        <w:rPr>
          <w:rFonts w:ascii="Arial Narrow" w:hAnsi="Arial Narrow"/>
          <w:sz w:val="22"/>
          <w:szCs w:val="22"/>
        </w:rPr>
        <w:t>, a ich powiązania zostały opisane.</w:t>
      </w:r>
      <w:r w:rsidR="003D20B3" w:rsidRPr="002B13E4">
        <w:rPr>
          <w:rFonts w:ascii="Arial Narrow" w:hAnsi="Arial Narrow"/>
          <w:sz w:val="22"/>
          <w:szCs w:val="22"/>
        </w:rPr>
        <w:t xml:space="preserve"> </w:t>
      </w:r>
      <w:r w:rsidR="00174752" w:rsidRPr="002B13E4">
        <w:rPr>
          <w:rFonts w:ascii="Arial Narrow" w:hAnsi="Arial Narrow"/>
          <w:sz w:val="22"/>
          <w:szCs w:val="22"/>
        </w:rPr>
        <w:t>Kryteria</w:t>
      </w:r>
      <w:r w:rsidR="003D20B3" w:rsidRPr="002B13E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2B13E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2B13E4">
        <w:rPr>
          <w:rFonts w:ascii="Arial Narrow" w:hAnsi="Arial Narrow"/>
          <w:sz w:val="22"/>
          <w:szCs w:val="22"/>
        </w:rPr>
        <w:t>wskaźników produktu i rezultatu, gdyż bezpośrednio się do nich odnoszą.</w:t>
      </w:r>
      <w:r w:rsidR="00174752" w:rsidRPr="002B13E4">
        <w:rPr>
          <w:rFonts w:ascii="Arial Narrow" w:hAnsi="Arial Narrow"/>
          <w:sz w:val="22"/>
          <w:szCs w:val="22"/>
        </w:rPr>
        <w:t xml:space="preserve"> Zawarto kryterium premiujące projekty, </w:t>
      </w:r>
      <w:r w:rsidR="00CC0C76" w:rsidRPr="002B13E4">
        <w:rPr>
          <w:rFonts w:ascii="Arial Narrow" w:hAnsi="Arial Narrow"/>
          <w:sz w:val="22"/>
          <w:szCs w:val="22"/>
        </w:rPr>
        <w:t xml:space="preserve"> </w:t>
      </w:r>
      <w:r w:rsidR="00CC0C76" w:rsidRPr="002B13E4">
        <w:rPr>
          <w:rFonts w:ascii="Arial Narrow" w:hAnsi="Arial Narrow"/>
          <w:sz w:val="22"/>
          <w:szCs w:val="22"/>
        </w:rPr>
        <w:br/>
      </w:r>
      <w:r w:rsidR="00174752" w:rsidRPr="002B13E4">
        <w:rPr>
          <w:rFonts w:ascii="Arial Narrow" w:hAnsi="Arial Narrow"/>
          <w:sz w:val="22"/>
          <w:szCs w:val="22"/>
        </w:rPr>
        <w:t>w których wkład własny przekracza intensywność pomocy określoną w PROW 2014-2020 (LSR)</w:t>
      </w:r>
      <w:r w:rsidR="009C6031" w:rsidRPr="002B13E4">
        <w:rPr>
          <w:rFonts w:ascii="Arial Narrow" w:hAnsi="Arial Narrow"/>
          <w:sz w:val="22"/>
          <w:szCs w:val="22"/>
        </w:rPr>
        <w:t>.</w:t>
      </w:r>
      <w:r w:rsidR="00844C79" w:rsidRPr="002B13E4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</w:t>
      </w:r>
      <w:r w:rsidR="00CC0C76" w:rsidRPr="002B13E4">
        <w:rPr>
          <w:rFonts w:ascii="Arial Narrow" w:hAnsi="Arial Narrow"/>
          <w:sz w:val="22"/>
          <w:szCs w:val="22"/>
        </w:rPr>
        <w:t xml:space="preserve"> </w:t>
      </w:r>
      <w:r w:rsidR="00CC0C76" w:rsidRPr="002B13E4">
        <w:rPr>
          <w:rFonts w:ascii="Arial Narrow" w:hAnsi="Arial Narrow"/>
          <w:sz w:val="22"/>
          <w:szCs w:val="22"/>
        </w:rPr>
        <w:br/>
      </w:r>
      <w:r w:rsidR="00844C79" w:rsidRPr="002B13E4">
        <w:rPr>
          <w:rFonts w:ascii="Arial Narrow" w:hAnsi="Arial Narrow"/>
          <w:sz w:val="22"/>
          <w:szCs w:val="22"/>
        </w:rPr>
        <w:t>o Wymagany dokument potwierdzający spełnienie kryteriów wyboru i załączone do niego dokumenty.</w:t>
      </w:r>
      <w:r w:rsidR="00F14011" w:rsidRPr="002B13E4">
        <w:rPr>
          <w:rFonts w:ascii="Arial Narrow" w:hAnsi="Arial Narrow"/>
          <w:sz w:val="22"/>
          <w:szCs w:val="22"/>
        </w:rPr>
        <w:t xml:space="preserve"> </w:t>
      </w:r>
    </w:p>
    <w:tbl>
      <w:tblPr>
        <w:tblW w:w="1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374"/>
        <w:gridCol w:w="28"/>
        <w:gridCol w:w="681"/>
        <w:gridCol w:w="28"/>
        <w:gridCol w:w="1247"/>
        <w:gridCol w:w="28"/>
        <w:gridCol w:w="6918"/>
        <w:gridCol w:w="83"/>
      </w:tblGrid>
      <w:tr w:rsidR="002B13E4" w:rsidRPr="002B13E4" w:rsidTr="00C82F0E">
        <w:trPr>
          <w:gridAfter w:val="1"/>
          <w:wAfter w:w="83" w:type="dxa"/>
          <w:cantSplit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CC0C76">
            <w:pPr>
              <w:ind w:left="-26" w:right="-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4083" w:type="dxa"/>
            <w:gridSpan w:val="3"/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2"/>
                <w:szCs w:val="22"/>
              </w:rPr>
              <w:t>Sposób przyznawania wag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</w:tcPr>
          <w:p w:rsidR="006D2D4B" w:rsidRPr="002B13E4" w:rsidRDefault="006D2D4B" w:rsidP="00CC0C76">
            <w:pPr>
              <w:ind w:right="-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2"/>
                <w:szCs w:val="22"/>
              </w:rPr>
              <w:t>Dodatkowy opis uzasadniający przyjęcie kryterium i wartości wag, wskazujący źródło informacji do weryfikacji kryterium, doprecyzowujący przyznawanie punktów, wska</w:t>
            </w:r>
            <w:r w:rsidR="00CC0C76" w:rsidRPr="002B13E4">
              <w:rPr>
                <w:rFonts w:ascii="Arial Narrow" w:hAnsi="Arial Narrow"/>
                <w:b/>
                <w:sz w:val="22"/>
                <w:szCs w:val="22"/>
              </w:rPr>
              <w:t xml:space="preserve">zujący powiązanie z celami LSR </w:t>
            </w:r>
            <w:r w:rsidRPr="002B13E4">
              <w:rPr>
                <w:rFonts w:ascii="Arial Narrow" w:hAnsi="Arial Narrow"/>
                <w:b/>
                <w:sz w:val="22"/>
                <w:szCs w:val="22"/>
              </w:rPr>
              <w:t>i PROW 2014-2020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552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0"/>
                <w:szCs w:val="20"/>
              </w:rPr>
              <w:t>Zakres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455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Operacja będzie realizowana w miejscowości, z której najkrótszy dojazd drogą publiczną do miejscowości gminnej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X ≥ 10 km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pozwoli na premiowanie operacji powstających w miejscowościach oddalonych od lokalnych centrów</w:t>
            </w:r>
            <w:r w:rsidR="00CC0C76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jakimi są miejscowości gminne i pozwoli real</w:t>
            </w:r>
            <w:r w:rsidR="00CC0C76" w:rsidRPr="002B13E4">
              <w:rPr>
                <w:rFonts w:ascii="Arial Narrow" w:hAnsi="Arial Narrow"/>
                <w:sz w:val="22"/>
                <w:szCs w:val="22"/>
              </w:rPr>
              <w:t>izować tzw. zrównoważony rozwój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poprzez premiowanie operacji zaplanowanych do realizacji w miejscowościach oddalonych od miejscowości gminnych. Im dalsze usytuowanie infrastruktury lub przedsiębiorstwa</w:t>
            </w:r>
            <w:r w:rsidR="00CC0C76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tym więcej punktów. </w:t>
            </w:r>
          </w:p>
          <w:p w:rsidR="006D2D4B" w:rsidRPr="002B13E4" w:rsidRDefault="006D2D4B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odbędzie się głównie na podstawie wydruku ze strony </w:t>
            </w:r>
            <w:hyperlink r:id="rId6" w:history="1">
              <w:r w:rsidRPr="002B13E4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https://www.google.pl/maps</w:t>
              </w:r>
            </w:hyperlink>
            <w:r w:rsidR="00E70EFD" w:rsidRPr="002B13E4">
              <w:rPr>
                <w:rStyle w:val="Hipercze"/>
                <w:rFonts w:ascii="Arial Narrow" w:hAnsi="Arial Narrow"/>
                <w:color w:val="auto"/>
                <w:sz w:val="22"/>
                <w:szCs w:val="22"/>
                <w:u w:val="none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wskazującego najkrótszy dojazd drogą publiczną do miejscowości gminnej z miejscowości, w której będzie realizowana operacja</w:t>
            </w:r>
            <w:r w:rsidR="00E70EFD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 xml:space="preserve"> załączonego przez W</w:t>
            </w:r>
            <w:r w:rsidRPr="002B13E4">
              <w:rPr>
                <w:rFonts w:ascii="Arial Narrow" w:hAnsi="Arial Narrow"/>
                <w:sz w:val="22"/>
                <w:szCs w:val="22"/>
              </w:rPr>
              <w:t>nioskodawcę. Liczba kilometrów zostanie przyrównana do określonych przedziałów i na tej podstawie przyznana zostanie liczba punktów.</w:t>
            </w:r>
          </w:p>
          <w:p w:rsidR="006D2D4B" w:rsidRPr="002B13E4" w:rsidRDefault="006D2D4B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Podejście to jest odpowiedzią na wyniki diagnozy wskazujące, że im miejsce zamieszkania jest dalsze od miejscowości gminnej, tym trudniejszy dostęp do miejsc pracy, dóbr i usług oraz infrastruktury rekreacyjnej</w:t>
            </w:r>
            <w:r w:rsidR="00E70EFD" w:rsidRPr="002B13E4">
              <w:rPr>
                <w:rFonts w:ascii="Arial Narrow" w:hAnsi="Arial Narrow"/>
                <w:sz w:val="22"/>
                <w:szCs w:val="22"/>
              </w:rPr>
              <w:t>/turystycznej</w:t>
            </w:r>
            <w:r w:rsidRPr="002B13E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D2D4B" w:rsidRPr="002B13E4" w:rsidRDefault="006D2D4B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premiuje operacje, które przyczynią się do osiągnięcia celu ogólnego 1.0 poprawiając warunki życia mieszkańców poprzez ułatwienie dostępu do infrastruktury rekreacyjnej oraz wskaźnika produktu – nowe miejsca rekreacji.</w:t>
            </w:r>
            <w:r w:rsidR="00E70EFD" w:rsidRPr="002B13E4">
              <w:rPr>
                <w:rFonts w:ascii="Arial Narrow" w:hAnsi="Arial Narrow"/>
                <w:sz w:val="22"/>
                <w:szCs w:val="22"/>
              </w:rPr>
              <w:t xml:space="preserve"> Ponadto premiuje operacje, które przyczynią się do osiągnięcia celu ogólnego 3.0 stwarzając nowe miejsca infrastruktury turystycznej dostępnej zarówno dla turystów, jak i dla lokalnej społeczności.</w:t>
            </w:r>
          </w:p>
          <w:p w:rsidR="006D2D4B" w:rsidRPr="002B13E4" w:rsidRDefault="006D2D4B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Budowa niekomercyjnej i ogólnodostępnej infrastruktury rekreacyjnej</w:t>
            </w:r>
            <w:r w:rsidR="00E70EFD" w:rsidRPr="002B13E4">
              <w:rPr>
                <w:rFonts w:ascii="Arial Narrow" w:hAnsi="Arial Narrow"/>
                <w:sz w:val="22"/>
                <w:szCs w:val="22"/>
              </w:rPr>
              <w:t>/turystycznej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spełnia wymogi  PROW 2014-2020, gdyż sprzyja realizacji celu związanego z ochroną środowiska i klimatu.</w:t>
            </w:r>
          </w:p>
          <w:p w:rsidR="006D2D4B" w:rsidRPr="002B13E4" w:rsidRDefault="00BA4539" w:rsidP="006D2D4B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Jeżeli W</w:t>
            </w:r>
            <w:r w:rsidR="006D2D4B" w:rsidRPr="002B13E4">
              <w:rPr>
                <w:rFonts w:ascii="Arial Narrow" w:hAnsi="Arial Narrow"/>
                <w:sz w:val="22"/>
                <w:szCs w:val="22"/>
              </w:rPr>
              <w:t>nioskodawca realizuje operację w kilku miejscowościach przyjmuje się opcję dla niego najkorzystniejszą.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45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10 km &gt;X ≥ 5 km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45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5 km &gt;X ≥ 3 km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455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3 km &gt; X </w:t>
            </w:r>
            <w:r w:rsidRPr="002B13E4">
              <w:rPr>
                <w:rFonts w:ascii="Arial Narrow" w:hAnsi="Arial Narrow"/>
                <w:sz w:val="20"/>
                <w:szCs w:val="20"/>
              </w:rPr>
              <w:br/>
              <w:t xml:space="preserve">lub miejscowość ta jest miejscowością gminną 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317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Realizacja operacji pozwoli osiągnąć wskaźnik produktu na poziomie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≥ 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4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1-4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BA4539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premiuje skalę realizacji wskaźnika. Im wyższa</w:t>
            </w:r>
            <w:r w:rsidR="00E70EFD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tym wyżej punktowana. 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  <w:b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Punkty przyznaje się dla wartości określonej w opisie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wskazującej liczbę odrębnych obiektów infrastruktury według określonych wartości. Najwięcej punktów otrzymują operacje, które podniosą realizację wskaźnika produktu o 4 i więcej jednostek, 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br/>
              <w:t xml:space="preserve"> </w:t>
            </w:r>
            <w:r w:rsidRPr="002B13E4">
              <w:rPr>
                <w:rFonts w:ascii="Arial Narrow" w:hAnsi="Arial Narrow"/>
                <w:sz w:val="22"/>
                <w:szCs w:val="22"/>
              </w:rPr>
              <w:t>a najmniej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gdy realizują tylko jeden obiekt.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odnosi się do infrastruktury rekreacyjnej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>/turystycznej,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zatem odpowiada na zdiagnozowany trudny dostęp do tej infrastruktury i ma na celu wpływ na dynamikę 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i skalę osiągania wskaźnika, co wpłynie na dostępność infrastruktury. 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Ze względu na istotę osiągania wskaźników w kryterium tym można uzyskać aż 4 pkt.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premiuje operacje, które przyczynią się do osiągnięcia celu ogólnego 1.0 poprawiając warunki życia mieszkańców poprzez ułatwienie dostępu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 xml:space="preserve"> do infrastruktury rekreacyjnej, a także tych operacji, które odpowiadając na cel ogólny 3.0 umożliwią wybudowanie większej ilości nowych obiektów infrastruktury turystycznej, która uatrakcyjni pod kątem turystycznym obszar STOWARZYSZENIA LGD BRAMA LUBUSKA.</w:t>
            </w:r>
          </w:p>
          <w:p w:rsidR="006D2D4B" w:rsidRPr="002B13E4" w:rsidRDefault="006D2D4B" w:rsidP="00BA45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Budowa niekomercyjnej i ogólnodostępnej infrastruktury rekreacyjnej</w:t>
            </w:r>
            <w:r w:rsidR="00BA4539" w:rsidRPr="002B13E4">
              <w:rPr>
                <w:rFonts w:ascii="Arial Narrow" w:hAnsi="Arial Narrow"/>
                <w:sz w:val="22"/>
                <w:szCs w:val="22"/>
              </w:rPr>
              <w:t>/turystycznej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jest zgodna z PROW 2014-2020, gdyż sprzyja realizacji celu związanego z ochroną środowiska i klimatu.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31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=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31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=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526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= 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248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533C1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W realizacji grantu założono czynny udział partnerów z sektora</w:t>
            </w:r>
          </w:p>
        </w:tc>
        <w:tc>
          <w:tcPr>
            <w:tcW w:w="3374" w:type="dxa"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Gospodarczego – przedsiębiorcy działającego na ter</w:t>
            </w:r>
            <w:r w:rsidR="00EE14EE" w:rsidRPr="002B13E4">
              <w:rPr>
                <w:rFonts w:ascii="Arial Narrow" w:hAnsi="Arial Narrow"/>
                <w:sz w:val="20"/>
                <w:szCs w:val="20"/>
              </w:rPr>
              <w:t>enie gminy, w której realizowany</w:t>
            </w:r>
            <w:r w:rsidRPr="002B13E4">
              <w:rPr>
                <w:rFonts w:ascii="Arial Narrow" w:hAnsi="Arial Narrow"/>
                <w:sz w:val="20"/>
                <w:szCs w:val="20"/>
              </w:rPr>
              <w:t xml:space="preserve"> będzie grant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1C5F06" w:rsidRPr="002B13E4" w:rsidRDefault="001C5F06" w:rsidP="001C5F06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Punkty za realizację grantu w partnerstwie powodującym współpracę sektorów,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w związku z tym, że </w:t>
            </w:r>
            <w:proofErr w:type="spellStart"/>
            <w:r w:rsidRPr="002B13E4">
              <w:rPr>
                <w:rFonts w:ascii="Arial Narrow" w:hAnsi="Arial Narrow"/>
                <w:sz w:val="22"/>
                <w:szCs w:val="22"/>
              </w:rPr>
              <w:t>Grantobiorcą</w:t>
            </w:r>
            <w:proofErr w:type="spellEnd"/>
            <w:r w:rsidRPr="002B13E4">
              <w:rPr>
                <w:rFonts w:ascii="Arial Narrow" w:hAnsi="Arial Narrow"/>
                <w:sz w:val="22"/>
                <w:szCs w:val="22"/>
              </w:rPr>
              <w:t xml:space="preserve"> może być jedynie NGO, otrzymają operacje,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których w oświadczeniu złożonym wraz z wnioskiem wskazany zostanie jednoznaczny udział partnera z sektora publicznego lub gospodarczego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opisując zakres współpracy wpływający na realizację celu. W ramach kryterium uzyskać można 0 pkt, gdy brak jest współpracy lub współpraca nawiązana jest z innym NGO,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1 pkt, gdy współpraca podjęta zostanie z sektorem </w:t>
            </w:r>
            <w:r w:rsidR="002B13E4" w:rsidRPr="002B13E4">
              <w:rPr>
                <w:rFonts w:ascii="Arial Narrow" w:hAnsi="Arial Narrow"/>
                <w:sz w:val="22"/>
                <w:szCs w:val="22"/>
              </w:rPr>
              <w:t xml:space="preserve">gospodarczym lub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>publicznym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lub 2 pkt, gdy współpraca jest i z sektorem gospodarczym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i publicznym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1C5F06" w:rsidRPr="002B13E4" w:rsidRDefault="001C5F06" w:rsidP="003832E8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odnosi się również do elementu diagnozy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jakim jest brak współpracy. </w:t>
            </w:r>
          </w:p>
          <w:p w:rsidR="001C5F06" w:rsidRPr="002B13E4" w:rsidRDefault="001C5F06" w:rsidP="003832E8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Jest to zgodne z polityką i spełnia wymogi PROW 2014-2020. </w:t>
            </w:r>
          </w:p>
          <w:p w:rsidR="00C4223A" w:rsidRPr="002B13E4" w:rsidRDefault="00C4223A" w:rsidP="003832E8">
            <w:pPr>
              <w:jc w:val="both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24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Publicznego – Gmin</w:t>
            </w:r>
            <w:r w:rsidR="00EE14EE" w:rsidRPr="002B13E4">
              <w:rPr>
                <w:rFonts w:ascii="Arial Narrow" w:hAnsi="Arial Narrow"/>
                <w:sz w:val="20"/>
                <w:szCs w:val="20"/>
              </w:rPr>
              <w:t>y, na terenie której realizowany</w:t>
            </w:r>
            <w:r w:rsidRPr="002B13E4">
              <w:rPr>
                <w:rFonts w:ascii="Arial Narrow" w:hAnsi="Arial Narrow"/>
                <w:sz w:val="20"/>
                <w:szCs w:val="20"/>
              </w:rPr>
              <w:t xml:space="preserve"> będzie grant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030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Społecznego (tak jak Wnioskodawca) – co nie wpływa na budowanie partnerstw międzysektorowych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508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</w:t>
            </w:r>
            <w:r w:rsidR="00EE14EE" w:rsidRPr="002B13E4">
              <w:rPr>
                <w:rFonts w:ascii="Arial Narrow" w:hAnsi="Arial Narrow"/>
                <w:sz w:val="20"/>
                <w:szCs w:val="20"/>
              </w:rPr>
              <w:t>,</w:t>
            </w:r>
            <w:r w:rsidRPr="002B13E4">
              <w:rPr>
                <w:rFonts w:ascii="Arial Narrow" w:hAnsi="Arial Narrow"/>
                <w:sz w:val="20"/>
                <w:szCs w:val="20"/>
              </w:rPr>
              <w:t xml:space="preserve"> do którego przypisano przedsięwzięcie, gdyż sprzyja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poprawie jakości życia mieszkańców na obszarze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operacja może ich uzyskać maksymalnie 2, gdyż w LSR wyróżniono 3 cele ogólne, a jeden zawsze jest bezpośrednio realizowany przez operację. 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  <w:b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W opisie tym zawarte musi zostać uzasadnienie wpływu na realizację tych celów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nawiązujące do określonego w LSR wskaźnika oddziaływania związanego z danym celem. 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Wpływa to bezpośrednio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na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osiąganie celów LSR i odpowiada elementowi diagnozy, który mówił o braku współpracy i stosowaniu kompleksowych rozwiązań.</w:t>
            </w:r>
          </w:p>
          <w:p w:rsidR="006D2D4B" w:rsidRPr="002B13E4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Odpowiada to zintegrowaniu, które jest jednym z wymogów LSR, zatem odpowiada  PROW 2014-2020.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50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rozwojowi przedsiębiorczości na obszarze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50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rozwojowi turystyki na obszarze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683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0-4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jest obowiązkowe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jeśli w LSR planuje się wykorzystanie funduszy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ramach PROW 2014-2020 – dowodzi to zawarcia w kryteriach wymogów programu.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odnosi się do diagnozy, gdyż na etapie konsultacji i opracowania danych zastany</w:t>
            </w:r>
            <w:r w:rsidR="00EE14EE" w:rsidRPr="002B13E4">
              <w:rPr>
                <w:rFonts w:ascii="Arial Narrow" w:hAnsi="Arial Narrow"/>
                <w:sz w:val="22"/>
                <w:szCs w:val="22"/>
              </w:rPr>
              <w:t xml:space="preserve">ch wskazano: </w:t>
            </w:r>
            <w:r w:rsidRPr="002B13E4">
              <w:rPr>
                <w:rFonts w:ascii="Arial Narrow" w:hAnsi="Arial Narrow"/>
                <w:sz w:val="22"/>
                <w:szCs w:val="22"/>
              </w:rPr>
              <w:t>małe wykorzystanie innowacji, które jest szansą rozwoju obszaru, iż dużym zagrożeniem dla obszaru jest pogorszenie stanu środowiska naturalnego, małe wykorzystanie i rozpoznawalność produktów lokalnych, iż na obszarze istnieją grupy o utrudnionym dostępie do rynku pracy i grupy te zostały zdefiniowane. Spójność kryterium z diagnozą obrazuje ujęcie w celach lub przedsięwzięciach bądź innych kryteriach tych aspektów.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Ze względu na szeroki zakres kryterium premiuje operacje, które przyczynią się do osiągnięcia wszystkich celów ogólnych, gdyż wpłyną  na poprawę życia mieszkańców w tym grup </w:t>
            </w:r>
            <w:proofErr w:type="spellStart"/>
            <w:r w:rsidRPr="002B13E4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2B13E4">
              <w:rPr>
                <w:rFonts w:ascii="Arial Narrow" w:hAnsi="Arial Narrow"/>
                <w:sz w:val="22"/>
                <w:szCs w:val="22"/>
              </w:rPr>
              <w:t>, premiują operacje oparte o produkty lokalne, pozwala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t>ją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chronić środowisko naturalne, które jest podstawą turystyki na obszarze.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  <w:b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6D2D4B" w:rsidRPr="002B13E4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Aby uzyskać punkty wymagane jest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aby odnieść się konkretnie do zakresu spełnienia kryterium i uzasadnić jego spełnienie wskazując: rozwiązania zastosowane w operacji, podstawę działalności, sposób realizacji lub oddziaływanie na grupy docelowe. Punkty sumuje się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zatem można uzyskać od 0 do 4 punktów.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981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827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226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operacja będzie ukierunkowana na potrzeby grupy </w:t>
            </w:r>
            <w:proofErr w:type="spellStart"/>
            <w:r w:rsidRPr="002B13E4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2B13E4">
              <w:rPr>
                <w:rFonts w:ascii="Arial Narrow" w:hAnsi="Arial Narrow"/>
                <w:sz w:val="20"/>
                <w:szCs w:val="20"/>
              </w:rPr>
              <w:t xml:space="preserve"> ze względu na dostęp do rynku pracy</w:t>
            </w:r>
            <w:r w:rsidRPr="002B13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841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Wartość wnioskowanego Grantu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≤ 20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DF7798" w:rsidRPr="002B13E4" w:rsidRDefault="00DF7798" w:rsidP="00D0738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Kryterium to pozwoli na premiowanie 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>grantów, dla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których 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 xml:space="preserve">określono wartość 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>wnioskowanej kwoty pomocy na poziomie niższym niż określono to w LSR</w:t>
            </w:r>
            <w:r w:rsidRPr="002B13E4">
              <w:rPr>
                <w:rFonts w:ascii="Arial Narrow" w:hAnsi="Arial Narrow"/>
                <w:sz w:val="22"/>
                <w:szCs w:val="22"/>
              </w:rPr>
              <w:t>.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 xml:space="preserve"> Weryfikacja polegać będzie na odniesieniu wnioskowanej kwoty pomocy wskazanej we wniosku o powierzenie grantu, a następnie przypisanie do właściwego przedziału 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1C53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>i przyznanie punktów.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Podejście to pozwoli na zaspokojenie w większym stopniu zdiagnozowanych potrzeb mieszkańców, gdyż pozwoli zrealizować w tym samym budżecie więcej 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>gran</w:t>
            </w:r>
            <w:r w:rsidRPr="002B13E4">
              <w:rPr>
                <w:rFonts w:ascii="Arial Narrow" w:hAnsi="Arial Narrow"/>
                <w:sz w:val="22"/>
                <w:szCs w:val="22"/>
              </w:rPr>
              <w:t>tów.</w:t>
            </w:r>
          </w:p>
          <w:p w:rsidR="00DF7798" w:rsidRPr="002B13E4" w:rsidRDefault="00DF7798" w:rsidP="00D0738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</w:t>
            </w:r>
            <w:r w:rsidR="009C1063" w:rsidRPr="002B13E4">
              <w:rPr>
                <w:rFonts w:ascii="Arial Narrow" w:hAnsi="Arial Narrow"/>
                <w:sz w:val="22"/>
                <w:szCs w:val="22"/>
              </w:rPr>
              <w:t>wniosku o powierzenie grantu</w:t>
            </w:r>
            <w:r w:rsidRPr="002B13E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C4223A" w:rsidRPr="002B13E4" w:rsidRDefault="00DF7798" w:rsidP="000F1C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wpłynie pozytywnie na realizację większej liczby wskaźników w ramach wszystkich przedsięwzięć, zatem pozytywnie wpłynie na wszystkie cele ogólne.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830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20 tys. zł &lt; X ≤ 25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841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25 tys. zł &lt;X ≤  35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853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35 tys. zł &lt;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546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Liczba mieszkańców w miejscowości, w której realizowana będzie operacja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X &lt; 0,5 tys.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Kryterium to jest obowiązkowe jeśli w LSR planuje się wykorzystanie funduszy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ramach PROW 2014-2020 – dowodzi to zawarcia w kryteriach wymogó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w programu. Program wymaga, aby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w kryteriach przewidzieć preferencje dla operacji realizowanych w miejscowościach poniżej 5 tys. mieszkańców. Diagnoza obszaru wskazała, że im mniejsza miejscowość, tym trudniejszy jest dostęp do infrastruktury rekreacyjnej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i tym mniej występuje obiektów infrastruktury turystycznej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, dlatego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w kryterium tym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oprócz premiowania operacji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zróżnicowano punktacje w taki sposób, że im mniejsza jest miejscowość, w której realizowana będzie operacja, tym więcej punktów wniosek otrzymuje.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Zaświadczenie wójta / burmistrza wskazującego liczbę mieszkańców w miejscowości, w której planowana będzie realizacja operacji. Liczba mieszkańców miejscowości zostanie przyporządkowana do właściwego przedziału wskazującego wielkość miejscowości i na tej podstawie zostaną przyznane punkty. 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Przez miejscowość rozumie się </w:t>
            </w:r>
            <w:hyperlink r:id="rId7" w:tooltip="Jednostka osadnicza" w:history="1">
              <w:r w:rsidRPr="002B13E4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jednostkę osadniczą</w:t>
              </w:r>
            </w:hyperlink>
            <w:r w:rsidRPr="002B13E4">
              <w:rPr>
                <w:rFonts w:ascii="Arial Narrow" w:hAnsi="Arial Narrow"/>
                <w:sz w:val="22"/>
                <w:szCs w:val="22"/>
              </w:rPr>
              <w:t xml:space="preserve"> lub inny </w:t>
            </w:r>
            <w:hyperlink r:id="rId8" w:tooltip="Obszar zabudowany" w:history="1">
              <w:r w:rsidRPr="002B13E4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obszar zabudowany</w:t>
              </w:r>
            </w:hyperlink>
            <w:r w:rsidRPr="002B13E4">
              <w:rPr>
                <w:rFonts w:ascii="Arial Narrow" w:hAnsi="Arial Narrow"/>
                <w:sz w:val="22"/>
                <w:szCs w:val="22"/>
              </w:rPr>
              <w:t xml:space="preserve"> odróżniający się od innych miejscowości odrębną nazwą, a przy jednakowej nazwie, odmiennym określeniem ich rodzaju.</w:t>
            </w:r>
          </w:p>
          <w:p w:rsidR="00C4223A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premiuje operacje, które przyczynią się do osiągnięcia celu ogólnego 1.0 poprawiając warunki życia mieszkańców poprzez ułatwienie dostępu do infrastruktury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lub do osiągnięcia celu ogólnego 3.0 poprzez turystyczne uatrakcyjnienie obszaru Stowarzyszenia</w:t>
            </w:r>
            <w:r w:rsidRPr="002B13E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554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0,5 tys. ≤ X &lt; 3 tys.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547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tys. ≤ X &lt; 5 tys.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2109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5 tys. ≤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266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E87E46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Wkład własny W</w:t>
            </w:r>
            <w:r w:rsidR="006D2D4B" w:rsidRPr="002B13E4">
              <w:rPr>
                <w:rFonts w:ascii="Arial Narrow" w:hAnsi="Arial Narrow"/>
                <w:sz w:val="20"/>
                <w:szCs w:val="20"/>
              </w:rPr>
              <w:t>nioskodawcy przekracza określoną w LSR intensywność pomocy o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X &gt; 5 000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pozwoli na premiowanie operacji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, w ramach których wkład własny W</w:t>
            </w:r>
            <w:r w:rsidRPr="002B13E4">
              <w:rPr>
                <w:rFonts w:ascii="Arial Narrow" w:hAnsi="Arial Narrow"/>
                <w:sz w:val="22"/>
                <w:szCs w:val="22"/>
              </w:rPr>
              <w:t>nioskodawcy przekracza intensywność określoną w PROW 2014-2020 (według ram określonych w LSR). Należy odnieść się do intensywności pomocy dla poszczególnych przedsięwzięć i rodzajó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w W</w:t>
            </w:r>
            <w:r w:rsidRPr="002B13E4">
              <w:rPr>
                <w:rFonts w:ascii="Arial Narrow" w:hAnsi="Arial Narrow"/>
                <w:sz w:val="22"/>
                <w:szCs w:val="22"/>
              </w:rPr>
              <w:t>nioskodawców i obliczyć wartość wkładu własnego przewyższającego intensywność określoną w LSR. Podejście to pozwoli na zaspokojenie w większym stopniu zdiagnozowanych potrzeb mieszkańców, gdyż pozwoli zrealizować w tym samym budżecie więcej projektów.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Weryfikacja kryterium nastąpi głównie na podstawie Oświadczenia ze wskazaniem wyliczenia powiązanego z budżetem wniosku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>, załączonego przez W</w:t>
            </w:r>
            <w:r w:rsidRPr="002B13E4">
              <w:rPr>
                <w:rFonts w:ascii="Arial Narrow" w:hAnsi="Arial Narrow"/>
                <w:sz w:val="22"/>
                <w:szCs w:val="22"/>
              </w:rPr>
              <w:t>nioskodawcę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, 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br/>
              <w:t xml:space="preserve">a stanowiącego załącznik nr 1 do </w:t>
            </w:r>
            <w:r w:rsidR="003158B0" w:rsidRPr="002B13E4">
              <w:rPr>
                <w:rFonts w:ascii="Arial Narrow" w:hAnsi="Arial Narrow"/>
                <w:sz w:val="22"/>
                <w:szCs w:val="22"/>
              </w:rPr>
              <w:t>Wymaganego dokumentu potwierdzającego spełnienie kryteriów wyboru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. Oświadczenie określi wyliczenie zgodne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>z warunkami</w:t>
            </w:r>
            <w:r w:rsidR="00E87E46" w:rsidRPr="002B13E4">
              <w:rPr>
                <w:rFonts w:ascii="Arial Narrow" w:hAnsi="Arial Narrow"/>
                <w:sz w:val="22"/>
                <w:szCs w:val="22"/>
              </w:rPr>
              <w:t xml:space="preserve"> w LSR – najkorzystniejsze dla Wnioskodawcy oraz w o</w:t>
            </w:r>
            <w:r w:rsidRPr="002B13E4">
              <w:rPr>
                <w:rFonts w:ascii="Arial Narrow" w:hAnsi="Arial Narrow"/>
                <w:sz w:val="22"/>
                <w:szCs w:val="22"/>
              </w:rPr>
              <w:t>parciu o budżet wnioskowaną kwotę pomocy. Różnica tych kwot określi wkład własny przekraczający intensywność pomocy i zostanie przyporządkowana do właściwego przedziału, a na tej podstawie wnioskowi zostanie przyznana właściwa liczba punktów.</w:t>
            </w:r>
          </w:p>
          <w:p w:rsidR="006D2D4B" w:rsidRPr="002B13E4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wpłynie pozytywnie na realizację większej liczby wskaźników w ramach wszystkich przedsięwzięć, zatem pozytywnie wpłynie na wszystkie cele ogólne.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39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 xml:space="preserve">3 000 zł &lt; X ≤ 5 000 zł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413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1 000 zł &lt; X ≤ 3 000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840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1 000 zł ≥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C82F0E">
        <w:trPr>
          <w:gridAfter w:val="1"/>
          <w:wAfter w:w="83" w:type="dxa"/>
          <w:cantSplit/>
          <w:trHeight w:val="1824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0-1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celów, gdyż osoby, które skorzystają z doradztwa, będą miały większą wiedzę, a ich wnioski będą lepszej jakości, więc będą szybciej i w większym odsetku realizowane. Doradztwo jest wymagane w ramach realizacji LSR, zatem kryterium to realizuje wymóg podejścia RLKS i PROW 2014-2020.</w:t>
            </w:r>
          </w:p>
          <w:p w:rsidR="00A06ACC" w:rsidRPr="002B13E4" w:rsidRDefault="00A06ACC" w:rsidP="00A06ACC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Weryfikacja kryterium nastąpi na podstawie Zaświadczenia o doradztwie udzielonym w biurze STOWARZYSZENIA LGD BRAMA LUBUSKA. W zaświadczeniu określony zostanie termin i zakres doradztwa, jednak nie będzi</w:t>
            </w:r>
            <w:r w:rsidR="00C82F0E" w:rsidRPr="002B13E4">
              <w:rPr>
                <w:rFonts w:ascii="Arial Narrow" w:hAnsi="Arial Narrow"/>
                <w:sz w:val="22"/>
                <w:szCs w:val="22"/>
              </w:rPr>
              <w:t>e to przedmiotem oceny. Jeżeli Wnioskodawca załączy zaś</w:t>
            </w:r>
            <w:r w:rsidRPr="002B13E4">
              <w:rPr>
                <w:rFonts w:ascii="Arial Narrow" w:hAnsi="Arial Narrow"/>
                <w:sz w:val="22"/>
                <w:szCs w:val="22"/>
              </w:rPr>
              <w:t>wiadczenie otrzyma 2 punkty</w:t>
            </w:r>
            <w:r w:rsidR="00C82F0E" w:rsidRPr="002B13E4">
              <w:rPr>
                <w:rFonts w:ascii="Arial Narrow" w:hAnsi="Arial Narrow"/>
                <w:sz w:val="22"/>
                <w:szCs w:val="22"/>
              </w:rPr>
              <w:t>,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jeśli nie, nie otrzyma punktów.</w:t>
            </w:r>
          </w:p>
          <w:p w:rsidR="006D2D4B" w:rsidRPr="002B13E4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Podczas diagnozy wykazano między innymi trudności grup </w:t>
            </w:r>
            <w:proofErr w:type="spellStart"/>
            <w:r w:rsidRPr="002B13E4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2B13E4">
              <w:rPr>
                <w:rFonts w:ascii="Arial Narrow" w:hAnsi="Arial Narrow"/>
                <w:sz w:val="22"/>
                <w:szCs w:val="22"/>
              </w:rPr>
              <w:t>, NGO z wypełnianiem dokumentacji – ujęcie tego kryterium pozwoli niwelować te problemy.</w:t>
            </w:r>
          </w:p>
        </w:tc>
      </w:tr>
      <w:tr w:rsidR="002B13E4" w:rsidRPr="002B13E4" w:rsidTr="00C82F0E">
        <w:trPr>
          <w:gridAfter w:val="1"/>
          <w:wAfter w:w="83" w:type="dxa"/>
          <w:cantSplit/>
          <w:trHeight w:val="1974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2B13E4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2B13E4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2B13E4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3E4" w:rsidRPr="002B13E4" w:rsidTr="001341D1">
        <w:tblPrEx>
          <w:jc w:val="left"/>
        </w:tblPrEx>
        <w:trPr>
          <w:cantSplit/>
          <w:trHeight w:val="2117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C82F0E" w:rsidRPr="002B13E4" w:rsidRDefault="001341D1" w:rsidP="002F6BFE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0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82F0E" w:rsidRPr="002B13E4" w:rsidRDefault="00406FFD" w:rsidP="009813F6">
            <w:pPr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Planowany termin</w:t>
            </w:r>
            <w:r w:rsidR="00C82F0E" w:rsidRPr="002B13E4">
              <w:rPr>
                <w:rFonts w:ascii="Arial Narrow" w:hAnsi="Arial Narrow"/>
                <w:sz w:val="20"/>
                <w:szCs w:val="20"/>
              </w:rPr>
              <w:t xml:space="preserve"> realizacji operacji przez Wnioskodawcę, liczony od dnia podpisania umowy o </w:t>
            </w:r>
            <w:r w:rsidR="009813F6" w:rsidRPr="002B13E4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="00C82F0E" w:rsidRPr="002B13E4">
              <w:rPr>
                <w:rFonts w:ascii="Arial Narrow" w:hAnsi="Arial Narrow"/>
                <w:sz w:val="20"/>
                <w:szCs w:val="20"/>
              </w:rPr>
              <w:t>, zamknie się w terminie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82F0E" w:rsidRPr="002B13E4" w:rsidRDefault="00C82F0E" w:rsidP="00C82F0E">
            <w:pPr>
              <w:rPr>
                <w:rFonts w:ascii="Arial Narrow" w:hAnsi="Arial Narrow"/>
                <w:sz w:val="20"/>
              </w:rPr>
            </w:pPr>
            <w:r w:rsidRPr="002B13E4">
              <w:rPr>
                <w:rFonts w:ascii="Arial Narrow" w:hAnsi="Arial Narrow"/>
                <w:sz w:val="20"/>
              </w:rPr>
              <w:t xml:space="preserve">do 3 miesięcy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82F0E" w:rsidRPr="002B13E4" w:rsidRDefault="001341D1" w:rsidP="001341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C82F0E" w:rsidRPr="002B13E4" w:rsidRDefault="00C82F0E" w:rsidP="00C82F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7001" w:type="dxa"/>
            <w:gridSpan w:val="2"/>
            <w:vMerge w:val="restart"/>
            <w:shd w:val="clear" w:color="auto" w:fill="auto"/>
            <w:vAlign w:val="center"/>
          </w:tcPr>
          <w:p w:rsidR="00C82F0E" w:rsidRPr="002B13E4" w:rsidRDefault="00C82F0E" w:rsidP="00C82F0E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:rsidR="00C82F0E" w:rsidRPr="002B13E4" w:rsidRDefault="00C82F0E" w:rsidP="00C82F0E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celów, a także na szybsze wdrożenie LSR, co spowoduje szybsze rozwinięcie obszaru STOWARZYSZENIA LGD BRAMA LUBUSKA, poprzez ułatwienie dostępu do infrastruktury rekreacyjnej i turystycznej.</w:t>
            </w:r>
          </w:p>
          <w:p w:rsidR="00C82F0E" w:rsidRPr="002B13E4" w:rsidRDefault="00C82F0E" w:rsidP="002F6BFE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>Weryfikacja nastąpi w oparciu o Oświadczenie o planowanym czasie realiz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>acji operacji, załączone przez Wnioskodawcę</w:t>
            </w:r>
            <w:r w:rsidR="003158B0" w:rsidRPr="002B13E4">
              <w:rPr>
                <w:rFonts w:ascii="Arial Narrow" w:hAnsi="Arial Narrow"/>
                <w:sz w:val="22"/>
                <w:szCs w:val="22"/>
              </w:rPr>
              <w:t xml:space="preserve"> na formularzu stanowiącym załącznik nr 2 do Wymaganego dokumentu potwierdzającego spełnienie kryteriów wyboru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>, w którym należy rozpisać terminy podpisania umowy, realizacji operacji oraz złożenia wniosku o płatność końcową.</w:t>
            </w:r>
          </w:p>
          <w:p w:rsidR="00C82F0E" w:rsidRPr="002B13E4" w:rsidRDefault="00C82F0E" w:rsidP="009813F6">
            <w:pPr>
              <w:jc w:val="both"/>
              <w:rPr>
                <w:rFonts w:ascii="Arial Narrow" w:hAnsi="Arial Narrow"/>
              </w:rPr>
            </w:pPr>
            <w:r w:rsidRPr="002B13E4">
              <w:rPr>
                <w:rFonts w:ascii="Arial Narrow" w:hAnsi="Arial Narrow"/>
                <w:sz w:val="22"/>
                <w:szCs w:val="22"/>
              </w:rPr>
              <w:t xml:space="preserve">Im szybciej operacja zostanie zrealizowana, tym więcej punktów uzyska Wnioskodawca. Termin realizacji operacji jest liczony od dnia podpisania umowy 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br/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9813F6" w:rsidRPr="002B13E4">
              <w:rPr>
                <w:rFonts w:ascii="Arial Narrow" w:hAnsi="Arial Narrow"/>
                <w:sz w:val="22"/>
                <w:szCs w:val="22"/>
              </w:rPr>
              <w:t>powierzenie grantu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do dnia, w którym zostanie złożony wniosek o płatność ostateczną. Jeśli operacja 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>będzie realizowana dłużej niż przez 3 pełne miesiące</w:t>
            </w:r>
            <w:r w:rsidRPr="002B13E4">
              <w:rPr>
                <w:rFonts w:ascii="Arial Narrow" w:hAnsi="Arial Narrow"/>
                <w:sz w:val="22"/>
                <w:szCs w:val="22"/>
              </w:rPr>
              <w:t xml:space="preserve"> liczone od dnia podpisania umowy, 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>W</w:t>
            </w:r>
            <w:r w:rsidRPr="002B13E4">
              <w:rPr>
                <w:rFonts w:ascii="Arial Narrow" w:hAnsi="Arial Narrow"/>
                <w:sz w:val="22"/>
                <w:szCs w:val="22"/>
              </w:rPr>
              <w:t>nioskodawca otrzyma 0 punktów.</w:t>
            </w:r>
            <w:r w:rsidR="001341D1" w:rsidRPr="002B13E4">
              <w:rPr>
                <w:rFonts w:ascii="Arial Narrow" w:hAnsi="Arial Narrow"/>
                <w:sz w:val="22"/>
                <w:szCs w:val="22"/>
              </w:rPr>
              <w:t xml:space="preserve"> Realizacja operacji w terminie do 3 miesięcy, licząc od dnia podpisania umowy, umożliwi uzyskanie 5 punktów.</w:t>
            </w:r>
          </w:p>
        </w:tc>
      </w:tr>
      <w:tr w:rsidR="00C82F0E" w:rsidRPr="002B13E4" w:rsidTr="001341D1">
        <w:tblPrEx>
          <w:jc w:val="left"/>
        </w:tblPrEx>
        <w:trPr>
          <w:cantSplit/>
          <w:trHeight w:val="2392"/>
        </w:trPr>
        <w:tc>
          <w:tcPr>
            <w:tcW w:w="312" w:type="dxa"/>
            <w:vMerge/>
            <w:shd w:val="clear" w:color="auto" w:fill="auto"/>
            <w:vAlign w:val="center"/>
          </w:tcPr>
          <w:p w:rsidR="00C82F0E" w:rsidRPr="002B13E4" w:rsidRDefault="00C82F0E" w:rsidP="002F6BFE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82F0E" w:rsidRPr="002B13E4" w:rsidRDefault="00C82F0E" w:rsidP="002F6B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82F0E" w:rsidRPr="002B13E4" w:rsidRDefault="000C569F" w:rsidP="00C82F0E">
            <w:pPr>
              <w:rPr>
                <w:rFonts w:ascii="Arial Narrow" w:hAnsi="Arial Narrow"/>
                <w:sz w:val="20"/>
              </w:rPr>
            </w:pPr>
            <w:r w:rsidRPr="002B13E4">
              <w:rPr>
                <w:rFonts w:ascii="Arial Narrow" w:hAnsi="Arial Narrow"/>
                <w:sz w:val="20"/>
              </w:rPr>
              <w:t>powyżej 3 miesięcy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82F0E" w:rsidRPr="002B13E4" w:rsidRDefault="001341D1" w:rsidP="001341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3E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C82F0E" w:rsidRPr="002B13E4" w:rsidRDefault="00C82F0E" w:rsidP="00C82F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vMerge/>
            <w:shd w:val="clear" w:color="auto" w:fill="auto"/>
            <w:vAlign w:val="center"/>
          </w:tcPr>
          <w:p w:rsidR="00C82F0E" w:rsidRPr="002B13E4" w:rsidRDefault="00C82F0E" w:rsidP="00C82F0E">
            <w:pPr>
              <w:jc w:val="both"/>
              <w:rPr>
                <w:rFonts w:ascii="Arial Narrow" w:hAnsi="Arial Narrow"/>
              </w:rPr>
            </w:pPr>
          </w:p>
        </w:tc>
      </w:tr>
    </w:tbl>
    <w:p w:rsidR="006D2D4B" w:rsidRPr="002B13E4" w:rsidRDefault="006D2D4B">
      <w:pPr>
        <w:rPr>
          <w:rFonts w:ascii="Arial Narrow" w:hAnsi="Arial Narrow"/>
          <w:sz w:val="22"/>
          <w:szCs w:val="22"/>
        </w:rPr>
      </w:pPr>
    </w:p>
    <w:p w:rsidR="006D2D4B" w:rsidRPr="002B13E4" w:rsidRDefault="006D2D4B">
      <w:pPr>
        <w:rPr>
          <w:rFonts w:ascii="Arial Narrow" w:hAnsi="Arial Narrow"/>
          <w:sz w:val="22"/>
          <w:szCs w:val="22"/>
        </w:rPr>
      </w:pPr>
    </w:p>
    <w:p w:rsidR="001E3EF1" w:rsidRPr="002B13E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2B13E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15C1E"/>
    <w:rsid w:val="00020A4D"/>
    <w:rsid w:val="00026DA1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C569F"/>
    <w:rsid w:val="000D08CE"/>
    <w:rsid w:val="000D5BE7"/>
    <w:rsid w:val="000E2FEF"/>
    <w:rsid w:val="000F1C53"/>
    <w:rsid w:val="001005BB"/>
    <w:rsid w:val="00100E34"/>
    <w:rsid w:val="001047EE"/>
    <w:rsid w:val="00127AED"/>
    <w:rsid w:val="001324D5"/>
    <w:rsid w:val="001341D1"/>
    <w:rsid w:val="00140CE1"/>
    <w:rsid w:val="0014683A"/>
    <w:rsid w:val="00147688"/>
    <w:rsid w:val="00150925"/>
    <w:rsid w:val="00156C7E"/>
    <w:rsid w:val="00162C19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7B88"/>
    <w:rsid w:val="001C48AD"/>
    <w:rsid w:val="001C5F06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34F4"/>
    <w:rsid w:val="00250E14"/>
    <w:rsid w:val="00253149"/>
    <w:rsid w:val="00255F58"/>
    <w:rsid w:val="00260A2B"/>
    <w:rsid w:val="00280E8B"/>
    <w:rsid w:val="00286D2B"/>
    <w:rsid w:val="00291CF8"/>
    <w:rsid w:val="00293D16"/>
    <w:rsid w:val="00297C9C"/>
    <w:rsid w:val="002A21AE"/>
    <w:rsid w:val="002B13E4"/>
    <w:rsid w:val="002C5DE2"/>
    <w:rsid w:val="002D1B61"/>
    <w:rsid w:val="002D23B2"/>
    <w:rsid w:val="002D7716"/>
    <w:rsid w:val="002D7B2E"/>
    <w:rsid w:val="002E350B"/>
    <w:rsid w:val="00302AA1"/>
    <w:rsid w:val="00304870"/>
    <w:rsid w:val="0031433C"/>
    <w:rsid w:val="003158B0"/>
    <w:rsid w:val="003256D4"/>
    <w:rsid w:val="00325C5F"/>
    <w:rsid w:val="00330F42"/>
    <w:rsid w:val="0033122E"/>
    <w:rsid w:val="00334829"/>
    <w:rsid w:val="00337B46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32E8"/>
    <w:rsid w:val="003850BA"/>
    <w:rsid w:val="0039200D"/>
    <w:rsid w:val="0039391E"/>
    <w:rsid w:val="00394F47"/>
    <w:rsid w:val="00395AD5"/>
    <w:rsid w:val="0039605C"/>
    <w:rsid w:val="00397CF0"/>
    <w:rsid w:val="003A5855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06FFD"/>
    <w:rsid w:val="0041112D"/>
    <w:rsid w:val="0041393E"/>
    <w:rsid w:val="00416D59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079"/>
    <w:rsid w:val="00456CCD"/>
    <w:rsid w:val="004656C2"/>
    <w:rsid w:val="00466028"/>
    <w:rsid w:val="00467138"/>
    <w:rsid w:val="00475F6C"/>
    <w:rsid w:val="00485211"/>
    <w:rsid w:val="00492F09"/>
    <w:rsid w:val="004A3731"/>
    <w:rsid w:val="004A3E4A"/>
    <w:rsid w:val="004A5332"/>
    <w:rsid w:val="004A6312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A2AE4"/>
    <w:rsid w:val="005A51F5"/>
    <w:rsid w:val="005B1846"/>
    <w:rsid w:val="005B198D"/>
    <w:rsid w:val="005B48AE"/>
    <w:rsid w:val="005B72E2"/>
    <w:rsid w:val="005C1C24"/>
    <w:rsid w:val="005C4284"/>
    <w:rsid w:val="005C6089"/>
    <w:rsid w:val="005D1A8D"/>
    <w:rsid w:val="005E241B"/>
    <w:rsid w:val="005E6611"/>
    <w:rsid w:val="005F75A5"/>
    <w:rsid w:val="006104A4"/>
    <w:rsid w:val="00615FB0"/>
    <w:rsid w:val="006236E1"/>
    <w:rsid w:val="00632729"/>
    <w:rsid w:val="006436E5"/>
    <w:rsid w:val="006546C1"/>
    <w:rsid w:val="00672D82"/>
    <w:rsid w:val="00683006"/>
    <w:rsid w:val="006867DB"/>
    <w:rsid w:val="006965A0"/>
    <w:rsid w:val="006A31B2"/>
    <w:rsid w:val="006D1E6F"/>
    <w:rsid w:val="006D2D4B"/>
    <w:rsid w:val="006E42E5"/>
    <w:rsid w:val="006F30E0"/>
    <w:rsid w:val="006F7390"/>
    <w:rsid w:val="006F77BE"/>
    <w:rsid w:val="00700FD0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4C02"/>
    <w:rsid w:val="007D0BB7"/>
    <w:rsid w:val="007D0F6A"/>
    <w:rsid w:val="007D62A7"/>
    <w:rsid w:val="007E48D7"/>
    <w:rsid w:val="007F123C"/>
    <w:rsid w:val="00805707"/>
    <w:rsid w:val="008059AA"/>
    <w:rsid w:val="008063B5"/>
    <w:rsid w:val="00814FF5"/>
    <w:rsid w:val="00817772"/>
    <w:rsid w:val="00826230"/>
    <w:rsid w:val="00844C79"/>
    <w:rsid w:val="00853363"/>
    <w:rsid w:val="008533C1"/>
    <w:rsid w:val="00871436"/>
    <w:rsid w:val="00873161"/>
    <w:rsid w:val="0087666D"/>
    <w:rsid w:val="008844B0"/>
    <w:rsid w:val="008870AE"/>
    <w:rsid w:val="0088744C"/>
    <w:rsid w:val="00887816"/>
    <w:rsid w:val="00891E61"/>
    <w:rsid w:val="008945CD"/>
    <w:rsid w:val="00894763"/>
    <w:rsid w:val="00896419"/>
    <w:rsid w:val="008A073E"/>
    <w:rsid w:val="008A37F4"/>
    <w:rsid w:val="008B2414"/>
    <w:rsid w:val="008B5D20"/>
    <w:rsid w:val="008B7844"/>
    <w:rsid w:val="008D4F17"/>
    <w:rsid w:val="008E2D94"/>
    <w:rsid w:val="008E7904"/>
    <w:rsid w:val="008F23A2"/>
    <w:rsid w:val="008F3960"/>
    <w:rsid w:val="009017D7"/>
    <w:rsid w:val="00905203"/>
    <w:rsid w:val="00906DAE"/>
    <w:rsid w:val="00911B0F"/>
    <w:rsid w:val="009249EB"/>
    <w:rsid w:val="00943F8E"/>
    <w:rsid w:val="00961050"/>
    <w:rsid w:val="00970117"/>
    <w:rsid w:val="009813F6"/>
    <w:rsid w:val="00981705"/>
    <w:rsid w:val="009902CD"/>
    <w:rsid w:val="00997F98"/>
    <w:rsid w:val="009B0885"/>
    <w:rsid w:val="009C1063"/>
    <w:rsid w:val="009C6031"/>
    <w:rsid w:val="009D6D01"/>
    <w:rsid w:val="009D6DCC"/>
    <w:rsid w:val="009D74A5"/>
    <w:rsid w:val="009E024A"/>
    <w:rsid w:val="009E1B2D"/>
    <w:rsid w:val="009E340A"/>
    <w:rsid w:val="009E78CD"/>
    <w:rsid w:val="00A021F8"/>
    <w:rsid w:val="00A03C7C"/>
    <w:rsid w:val="00A06AC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354EF"/>
    <w:rsid w:val="00B37C54"/>
    <w:rsid w:val="00B46193"/>
    <w:rsid w:val="00B54551"/>
    <w:rsid w:val="00B56AB2"/>
    <w:rsid w:val="00B61BB3"/>
    <w:rsid w:val="00B62423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A4539"/>
    <w:rsid w:val="00BC2699"/>
    <w:rsid w:val="00BC4582"/>
    <w:rsid w:val="00BC7BE6"/>
    <w:rsid w:val="00BC7D07"/>
    <w:rsid w:val="00BD0E69"/>
    <w:rsid w:val="00BD5D74"/>
    <w:rsid w:val="00C03180"/>
    <w:rsid w:val="00C13DE1"/>
    <w:rsid w:val="00C2223F"/>
    <w:rsid w:val="00C23B75"/>
    <w:rsid w:val="00C308B3"/>
    <w:rsid w:val="00C4223A"/>
    <w:rsid w:val="00C6289D"/>
    <w:rsid w:val="00C7097D"/>
    <w:rsid w:val="00C70E97"/>
    <w:rsid w:val="00C7104C"/>
    <w:rsid w:val="00C774F3"/>
    <w:rsid w:val="00C8171B"/>
    <w:rsid w:val="00C82F0E"/>
    <w:rsid w:val="00C87684"/>
    <w:rsid w:val="00C915BF"/>
    <w:rsid w:val="00C91E03"/>
    <w:rsid w:val="00C93F2F"/>
    <w:rsid w:val="00CB435D"/>
    <w:rsid w:val="00CC08EE"/>
    <w:rsid w:val="00CC0C76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0738C"/>
    <w:rsid w:val="00D121A1"/>
    <w:rsid w:val="00D22366"/>
    <w:rsid w:val="00D236E0"/>
    <w:rsid w:val="00D2669C"/>
    <w:rsid w:val="00D34AEE"/>
    <w:rsid w:val="00D42BFB"/>
    <w:rsid w:val="00D42C47"/>
    <w:rsid w:val="00D43996"/>
    <w:rsid w:val="00D5001D"/>
    <w:rsid w:val="00D728FC"/>
    <w:rsid w:val="00D90794"/>
    <w:rsid w:val="00D9278E"/>
    <w:rsid w:val="00D96D25"/>
    <w:rsid w:val="00DB360E"/>
    <w:rsid w:val="00DC2CCD"/>
    <w:rsid w:val="00DC2E77"/>
    <w:rsid w:val="00DC35FA"/>
    <w:rsid w:val="00DC39D5"/>
    <w:rsid w:val="00DC68BE"/>
    <w:rsid w:val="00DD2263"/>
    <w:rsid w:val="00DD2A61"/>
    <w:rsid w:val="00DD331A"/>
    <w:rsid w:val="00DD4287"/>
    <w:rsid w:val="00DD5CBB"/>
    <w:rsid w:val="00DE3455"/>
    <w:rsid w:val="00DE34A6"/>
    <w:rsid w:val="00DE7ED3"/>
    <w:rsid w:val="00DF107F"/>
    <w:rsid w:val="00DF7798"/>
    <w:rsid w:val="00E03BAA"/>
    <w:rsid w:val="00E12EFF"/>
    <w:rsid w:val="00E17F15"/>
    <w:rsid w:val="00E257C2"/>
    <w:rsid w:val="00E26F34"/>
    <w:rsid w:val="00E356B9"/>
    <w:rsid w:val="00E46DD4"/>
    <w:rsid w:val="00E52582"/>
    <w:rsid w:val="00E55FDA"/>
    <w:rsid w:val="00E56EB8"/>
    <w:rsid w:val="00E6178A"/>
    <w:rsid w:val="00E70EFD"/>
    <w:rsid w:val="00E76CFB"/>
    <w:rsid w:val="00E81941"/>
    <w:rsid w:val="00E821E6"/>
    <w:rsid w:val="00E84631"/>
    <w:rsid w:val="00E87E46"/>
    <w:rsid w:val="00E87F4F"/>
    <w:rsid w:val="00E91D01"/>
    <w:rsid w:val="00EA5C30"/>
    <w:rsid w:val="00ED7821"/>
    <w:rsid w:val="00EE148E"/>
    <w:rsid w:val="00EE14E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8422D"/>
    <w:rsid w:val="00F93578"/>
    <w:rsid w:val="00F957CE"/>
    <w:rsid w:val="00F97C00"/>
    <w:rsid w:val="00FA39F3"/>
    <w:rsid w:val="00FB164A"/>
    <w:rsid w:val="00FC0F30"/>
    <w:rsid w:val="00FD3669"/>
    <w:rsid w:val="00FD3C80"/>
    <w:rsid w:val="00FD4F4B"/>
    <w:rsid w:val="00FD58DD"/>
    <w:rsid w:val="00FD5BE2"/>
    <w:rsid w:val="00FD74F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EA3755C-B0E2-4AA7-8409-60CA228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szar_zabudowany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Jednostka_osadnic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1BC4-901E-4AF6-A407-5B9C559B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398</cp:revision>
  <cp:lastPrinted>2017-06-28T10:22:00Z</cp:lastPrinted>
  <dcterms:created xsi:type="dcterms:W3CDTF">2013-04-18T08:51:00Z</dcterms:created>
  <dcterms:modified xsi:type="dcterms:W3CDTF">2017-06-29T07:56:00Z</dcterms:modified>
</cp:coreProperties>
</file>