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32" w:rsidRPr="00644F20" w:rsidRDefault="00644F20">
      <w:pPr>
        <w:rPr>
          <w:rFonts w:ascii="Arial Narrow" w:hAnsi="Arial Narrow"/>
          <w:sz w:val="22"/>
          <w:szCs w:val="22"/>
        </w:rPr>
      </w:pPr>
      <w:r w:rsidRPr="00644F20"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99.9pt;margin-top:-.05pt;width:273.35pt;height:39.4pt;z-index:251658240;mso-width-relative:margin;mso-height-relative:margin">
            <v:textbox style="mso-next-textbox:#_x0000_s1028">
              <w:txbxContent>
                <w:p w:rsidR="006D2D4B" w:rsidRPr="006D2D4B" w:rsidRDefault="006D2D4B" w:rsidP="006D2D4B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22"/>
                      <w:szCs w:val="22"/>
                    </w:rPr>
                  </w:pPr>
                  <w:r w:rsidRPr="006D2D4B">
                    <w:rPr>
                      <w:rFonts w:ascii="Arial Narrow" w:hAnsi="Arial Narrow" w:cs="Calibri"/>
                      <w:sz w:val="22"/>
                      <w:szCs w:val="22"/>
                    </w:rPr>
                    <w:t xml:space="preserve">Załącznik nr </w:t>
                  </w:r>
                  <w:r w:rsidR="009E340A">
                    <w:rPr>
                      <w:rFonts w:ascii="Arial Narrow" w:hAnsi="Arial Narrow" w:cs="Calibri"/>
                      <w:sz w:val="22"/>
                      <w:szCs w:val="22"/>
                    </w:rPr>
                    <w:t>5</w:t>
                  </w:r>
                  <w:r w:rsidRPr="006D2D4B">
                    <w:rPr>
                      <w:rFonts w:ascii="Arial Narrow" w:hAnsi="Arial Narrow" w:cs="Calibri"/>
                      <w:sz w:val="22"/>
                      <w:szCs w:val="22"/>
                    </w:rPr>
                    <w:t xml:space="preserve"> do </w:t>
                  </w:r>
                  <w:r w:rsidR="00891E61" w:rsidRPr="002B13E4">
                    <w:rPr>
                      <w:rFonts w:ascii="Arial Narrow" w:hAnsi="Arial Narrow"/>
                      <w:bCs/>
                      <w:sz w:val="22"/>
                      <w:szCs w:val="22"/>
                    </w:rPr>
                    <w:t>Procedury</w:t>
                  </w:r>
                  <w:r w:rsidRPr="002B13E4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 realizacji projektów grantowych </w:t>
                  </w:r>
                  <w:r w:rsidRPr="002B13E4">
                    <w:rPr>
                      <w:rFonts w:ascii="Arial Narrow" w:hAnsi="Arial Narrow"/>
                      <w:bCs/>
                      <w:sz w:val="22"/>
                      <w:szCs w:val="22"/>
                    </w:rPr>
                    <w:br/>
                    <w:t>w tym wyboru Grantobiorców</w:t>
                  </w:r>
                </w:p>
                <w:p w:rsidR="006D2D4B" w:rsidRPr="00A136CE" w:rsidRDefault="006D2D4B" w:rsidP="006D2D4B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6D2D4B" w:rsidRDefault="006D2D4B" w:rsidP="006D2D4B"/>
              </w:txbxContent>
            </v:textbox>
          </v:shape>
        </w:pict>
      </w:r>
    </w:p>
    <w:p w:rsidR="001E3EF1" w:rsidRPr="00644F20" w:rsidRDefault="001E3EF1">
      <w:pPr>
        <w:rPr>
          <w:rFonts w:ascii="Arial Narrow" w:hAnsi="Arial Narrow"/>
          <w:sz w:val="22"/>
          <w:szCs w:val="22"/>
        </w:rPr>
      </w:pPr>
    </w:p>
    <w:p w:rsidR="001E3EF1" w:rsidRPr="00644F20" w:rsidRDefault="001E3EF1">
      <w:pPr>
        <w:rPr>
          <w:rFonts w:ascii="Arial Narrow" w:hAnsi="Arial Narrow"/>
          <w:sz w:val="22"/>
          <w:szCs w:val="22"/>
        </w:rPr>
      </w:pPr>
    </w:p>
    <w:p w:rsidR="001E3EF1" w:rsidRPr="00644F20" w:rsidRDefault="001E3EF1">
      <w:pPr>
        <w:rPr>
          <w:rFonts w:ascii="Arial Narrow" w:hAnsi="Arial Narrow"/>
          <w:sz w:val="22"/>
          <w:szCs w:val="22"/>
        </w:rPr>
      </w:pPr>
    </w:p>
    <w:p w:rsidR="00CB435D" w:rsidRPr="00644F20" w:rsidRDefault="00A40A54" w:rsidP="00A40A54">
      <w:pPr>
        <w:jc w:val="center"/>
        <w:rPr>
          <w:rFonts w:ascii="Arial Narrow" w:hAnsi="Arial Narrow"/>
          <w:sz w:val="22"/>
          <w:szCs w:val="22"/>
        </w:rPr>
      </w:pPr>
      <w:r w:rsidRPr="00644F20">
        <w:rPr>
          <w:rFonts w:ascii="Arial Narrow" w:hAnsi="Arial Narrow"/>
          <w:sz w:val="22"/>
          <w:szCs w:val="22"/>
        </w:rPr>
        <w:t>KRYTERIA WYBORU WRA</w:t>
      </w:r>
      <w:r w:rsidR="007C4C02" w:rsidRPr="00644F20">
        <w:rPr>
          <w:rFonts w:ascii="Arial Narrow" w:hAnsi="Arial Narrow"/>
          <w:sz w:val="22"/>
          <w:szCs w:val="22"/>
        </w:rPr>
        <w:t>Z</w:t>
      </w:r>
      <w:r w:rsidRPr="00644F20">
        <w:rPr>
          <w:rFonts w:ascii="Arial Narrow" w:hAnsi="Arial Narrow"/>
          <w:sz w:val="22"/>
          <w:szCs w:val="22"/>
        </w:rPr>
        <w:t xml:space="preserve"> Z OPISEM</w:t>
      </w:r>
    </w:p>
    <w:p w:rsidR="009C6031" w:rsidRPr="00644F20" w:rsidRDefault="009C6031" w:rsidP="00A40A54">
      <w:pPr>
        <w:jc w:val="center"/>
        <w:rPr>
          <w:rFonts w:ascii="Arial Narrow" w:hAnsi="Arial Narrow"/>
          <w:sz w:val="22"/>
          <w:szCs w:val="22"/>
        </w:rPr>
      </w:pPr>
    </w:p>
    <w:p w:rsidR="001E3EF1" w:rsidRPr="00644F20" w:rsidRDefault="009B0885" w:rsidP="009C6031">
      <w:pPr>
        <w:jc w:val="both"/>
        <w:rPr>
          <w:rFonts w:ascii="Arial Narrow" w:hAnsi="Arial Narrow"/>
          <w:sz w:val="22"/>
          <w:szCs w:val="22"/>
        </w:rPr>
      </w:pPr>
      <w:r w:rsidRPr="00644F20">
        <w:rPr>
          <w:rFonts w:ascii="Arial Narrow" w:hAnsi="Arial Narrow"/>
          <w:sz w:val="22"/>
          <w:szCs w:val="22"/>
        </w:rPr>
        <w:t>Wszystkie przyjęte kryteria wyboru są mierzalne i wykluczają dowolność interpretacyjną, co pozwala na niedyskryminującą ocenę wniosków</w:t>
      </w:r>
      <w:r w:rsidR="009C6031" w:rsidRPr="00644F20">
        <w:rPr>
          <w:rFonts w:ascii="Arial Narrow" w:hAnsi="Arial Narrow"/>
          <w:sz w:val="22"/>
          <w:szCs w:val="22"/>
        </w:rPr>
        <w:t xml:space="preserve"> i przejrzystość procedury oceny i wyboru </w:t>
      </w:r>
      <w:r w:rsidR="00296EF1" w:rsidRPr="00644F20">
        <w:rPr>
          <w:rFonts w:ascii="Arial Narrow" w:hAnsi="Arial Narrow"/>
          <w:sz w:val="22"/>
          <w:szCs w:val="22"/>
        </w:rPr>
        <w:t>zadania</w:t>
      </w:r>
      <w:r w:rsidRPr="00644F20">
        <w:rPr>
          <w:rFonts w:ascii="Arial Narrow" w:hAnsi="Arial Narrow"/>
          <w:sz w:val="22"/>
          <w:szCs w:val="22"/>
        </w:rPr>
        <w:t>. Określono punkty należne za poszczególny stopień spełnienia kryterium</w:t>
      </w:r>
      <w:r w:rsidR="00E17F15" w:rsidRPr="00644F20">
        <w:rPr>
          <w:rFonts w:ascii="Arial Narrow" w:hAnsi="Arial Narrow"/>
          <w:sz w:val="22"/>
          <w:szCs w:val="22"/>
        </w:rPr>
        <w:t xml:space="preserve"> </w:t>
      </w:r>
      <w:r w:rsidRPr="00644F20">
        <w:rPr>
          <w:rFonts w:ascii="Arial Narrow" w:hAnsi="Arial Narrow"/>
          <w:sz w:val="22"/>
          <w:szCs w:val="22"/>
        </w:rPr>
        <w:t>i wskazano możliwe do przyznania punkt</w:t>
      </w:r>
      <w:r w:rsidR="00E17F15" w:rsidRPr="00644F20">
        <w:rPr>
          <w:rFonts w:ascii="Arial Narrow" w:hAnsi="Arial Narrow"/>
          <w:sz w:val="22"/>
          <w:szCs w:val="22"/>
        </w:rPr>
        <w:t>y (wagi)</w:t>
      </w:r>
      <w:r w:rsidRPr="00644F20">
        <w:rPr>
          <w:rFonts w:ascii="Arial Narrow" w:hAnsi="Arial Narrow"/>
          <w:sz w:val="22"/>
          <w:szCs w:val="22"/>
        </w:rPr>
        <w:t xml:space="preserve">, wykluczając możliwość przyznawania punktów ułamkowych. </w:t>
      </w:r>
      <w:r w:rsidR="008B5D20" w:rsidRPr="00644F20">
        <w:rPr>
          <w:rFonts w:ascii="Arial Narrow" w:hAnsi="Arial Narrow"/>
          <w:sz w:val="22"/>
          <w:szCs w:val="22"/>
        </w:rPr>
        <w:t xml:space="preserve">Ponadto kryteria zawierają wymogi określone dla Programu Rozwoju Obszarów Wiejskich na lata 2014-2020. </w:t>
      </w:r>
      <w:r w:rsidR="003D20B3" w:rsidRPr="00644F20">
        <w:rPr>
          <w:rFonts w:ascii="Arial Narrow" w:hAnsi="Arial Narrow"/>
          <w:sz w:val="22"/>
          <w:szCs w:val="22"/>
        </w:rPr>
        <w:t>Kryteria są adekwatne do diagnozy</w:t>
      </w:r>
      <w:r w:rsidR="00174752" w:rsidRPr="00644F20">
        <w:rPr>
          <w:rFonts w:ascii="Arial Narrow" w:hAnsi="Arial Narrow"/>
          <w:sz w:val="22"/>
          <w:szCs w:val="22"/>
        </w:rPr>
        <w:t>, a ich powiązania zostały opisane.</w:t>
      </w:r>
      <w:r w:rsidR="003D20B3" w:rsidRPr="00644F20">
        <w:rPr>
          <w:rFonts w:ascii="Arial Narrow" w:hAnsi="Arial Narrow"/>
          <w:sz w:val="22"/>
          <w:szCs w:val="22"/>
        </w:rPr>
        <w:t xml:space="preserve"> </w:t>
      </w:r>
      <w:r w:rsidR="00174752" w:rsidRPr="00644F20">
        <w:rPr>
          <w:rFonts w:ascii="Arial Narrow" w:hAnsi="Arial Narrow"/>
          <w:sz w:val="22"/>
          <w:szCs w:val="22"/>
        </w:rPr>
        <w:t>Kryteria</w:t>
      </w:r>
      <w:r w:rsidR="003D20B3" w:rsidRPr="00644F20">
        <w:rPr>
          <w:rFonts w:ascii="Arial Narrow" w:hAnsi="Arial Narrow"/>
          <w:sz w:val="22"/>
          <w:szCs w:val="22"/>
        </w:rPr>
        <w:t xml:space="preserve"> premiują </w:t>
      </w:r>
      <w:r w:rsidR="00296EF1" w:rsidRPr="00644F20">
        <w:rPr>
          <w:rFonts w:ascii="Arial Narrow" w:hAnsi="Arial Narrow"/>
          <w:sz w:val="22"/>
          <w:szCs w:val="22"/>
        </w:rPr>
        <w:t xml:space="preserve">zadania </w:t>
      </w:r>
      <w:r w:rsidR="003D20B3" w:rsidRPr="00644F20">
        <w:rPr>
          <w:rFonts w:ascii="Arial Narrow" w:hAnsi="Arial Narrow"/>
          <w:sz w:val="22"/>
          <w:szCs w:val="22"/>
        </w:rPr>
        <w:t xml:space="preserve">przyczyniające się do osiągania </w:t>
      </w:r>
      <w:r w:rsidR="00512262" w:rsidRPr="00644F20">
        <w:rPr>
          <w:rFonts w:ascii="Arial Narrow" w:hAnsi="Arial Narrow"/>
          <w:sz w:val="22"/>
          <w:szCs w:val="22"/>
        </w:rPr>
        <w:t xml:space="preserve">celów i wpływają na osiąganie </w:t>
      </w:r>
      <w:r w:rsidR="003D20B3" w:rsidRPr="00644F20">
        <w:rPr>
          <w:rFonts w:ascii="Arial Narrow" w:hAnsi="Arial Narrow"/>
          <w:sz w:val="22"/>
          <w:szCs w:val="22"/>
        </w:rPr>
        <w:t>wskaźników produktu i rezultatu, gdyż bezpośrednio się do nich odnoszą.</w:t>
      </w:r>
      <w:r w:rsidR="00174752" w:rsidRPr="00644F20">
        <w:rPr>
          <w:rFonts w:ascii="Arial Narrow" w:hAnsi="Arial Narrow"/>
          <w:sz w:val="22"/>
          <w:szCs w:val="22"/>
        </w:rPr>
        <w:t xml:space="preserve"> Zawarto kryterium premiujące projekty, w których wkład własny przekracza intensywność pomocy określoną w PROW 2014-2020 (LSR)</w:t>
      </w:r>
      <w:r w:rsidR="009C6031" w:rsidRPr="00644F20">
        <w:rPr>
          <w:rFonts w:ascii="Arial Narrow" w:hAnsi="Arial Narrow"/>
          <w:sz w:val="22"/>
          <w:szCs w:val="22"/>
        </w:rPr>
        <w:t>.</w:t>
      </w:r>
      <w:r w:rsidR="00844C79" w:rsidRPr="00644F20">
        <w:rPr>
          <w:rFonts w:ascii="Arial Narrow" w:hAnsi="Arial Narrow"/>
          <w:sz w:val="22"/>
          <w:szCs w:val="22"/>
        </w:rPr>
        <w:t xml:space="preserve"> Ocena według kryteriów odbywać się będzie w oparciu o dokumentację wniosku, w tym o Wymagany dokument potwierdzający spełnienie kryteriów wyboru i załączone do niego dokumenty.</w:t>
      </w:r>
      <w:r w:rsidR="00F14011" w:rsidRPr="00644F20">
        <w:rPr>
          <w:rFonts w:ascii="Arial Narrow" w:hAnsi="Arial Narrow"/>
          <w:sz w:val="22"/>
          <w:szCs w:val="22"/>
        </w:rPr>
        <w:t xml:space="preserve"> </w:t>
      </w:r>
    </w:p>
    <w:tbl>
      <w:tblPr>
        <w:tblW w:w="15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2835"/>
        <w:gridCol w:w="3374"/>
        <w:gridCol w:w="28"/>
        <w:gridCol w:w="681"/>
        <w:gridCol w:w="28"/>
        <w:gridCol w:w="1247"/>
        <w:gridCol w:w="28"/>
        <w:gridCol w:w="6918"/>
        <w:gridCol w:w="28"/>
      </w:tblGrid>
      <w:tr w:rsidR="00644F20" w:rsidRPr="00644F20" w:rsidTr="00513EE7">
        <w:trPr>
          <w:gridAfter w:val="1"/>
          <w:wAfter w:w="28" w:type="dxa"/>
          <w:cantSplit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644F20" w:rsidRDefault="006D2D4B" w:rsidP="00CC0C76">
            <w:pPr>
              <w:ind w:left="-26" w:right="-2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4F20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644F20" w:rsidRDefault="006D2D4B" w:rsidP="00CC0C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4F20">
              <w:rPr>
                <w:rFonts w:ascii="Arial Narrow" w:hAnsi="Arial Narrow"/>
                <w:b/>
                <w:sz w:val="20"/>
                <w:szCs w:val="20"/>
              </w:rPr>
              <w:t>Treść kryterium</w:t>
            </w:r>
          </w:p>
        </w:tc>
        <w:tc>
          <w:tcPr>
            <w:tcW w:w="4083" w:type="dxa"/>
            <w:gridSpan w:val="3"/>
            <w:shd w:val="clear" w:color="auto" w:fill="auto"/>
            <w:vAlign w:val="center"/>
          </w:tcPr>
          <w:p w:rsidR="006D2D4B" w:rsidRPr="00644F20" w:rsidRDefault="006D2D4B" w:rsidP="00CC0C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4F20">
              <w:rPr>
                <w:rFonts w:ascii="Arial Narrow" w:hAnsi="Arial Narrow"/>
                <w:b/>
                <w:sz w:val="20"/>
                <w:szCs w:val="20"/>
              </w:rPr>
              <w:t>Spełnienie kryterium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644F20" w:rsidRDefault="006D2D4B" w:rsidP="00CC0C7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b/>
                <w:sz w:val="22"/>
                <w:szCs w:val="22"/>
              </w:rPr>
              <w:t>Sposób przyznawania wag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</w:tcPr>
          <w:p w:rsidR="006D2D4B" w:rsidRPr="00644F20" w:rsidRDefault="006D2D4B" w:rsidP="00CC0C76">
            <w:pPr>
              <w:ind w:right="-2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b/>
                <w:sz w:val="22"/>
                <w:szCs w:val="22"/>
              </w:rPr>
              <w:t>Dodatkowy opis uzasadniający przyjęcie kryterium i wartości wag, wskazujący źródło informacji do weryfikacji kryterium, doprecyzowujący przyznawanie punktów, wska</w:t>
            </w:r>
            <w:r w:rsidR="00CC0C76" w:rsidRPr="00644F20">
              <w:rPr>
                <w:rFonts w:ascii="Arial Narrow" w:hAnsi="Arial Narrow"/>
                <w:b/>
                <w:sz w:val="22"/>
                <w:szCs w:val="22"/>
              </w:rPr>
              <w:t xml:space="preserve">zujący powiązanie z celami LSR </w:t>
            </w:r>
            <w:r w:rsidRPr="00644F20">
              <w:rPr>
                <w:rFonts w:ascii="Arial Narrow" w:hAnsi="Arial Narrow"/>
                <w:b/>
                <w:sz w:val="22"/>
                <w:szCs w:val="22"/>
              </w:rPr>
              <w:t>i PROW 2014-2020</w:t>
            </w:r>
          </w:p>
        </w:tc>
      </w:tr>
      <w:tr w:rsidR="00644F20" w:rsidRPr="00644F20" w:rsidTr="00513EE7">
        <w:trPr>
          <w:gridAfter w:val="1"/>
          <w:wAfter w:w="28" w:type="dxa"/>
          <w:cantSplit/>
          <w:trHeight w:val="552"/>
          <w:jc w:val="center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644F20" w:rsidRDefault="006D2D4B" w:rsidP="00CC0C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644F20" w:rsidRDefault="006D2D4B" w:rsidP="00CC0C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644F20" w:rsidRDefault="006D2D4B" w:rsidP="00CC0C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4F20">
              <w:rPr>
                <w:rFonts w:ascii="Arial Narrow" w:hAnsi="Arial Narrow"/>
                <w:b/>
                <w:sz w:val="20"/>
                <w:szCs w:val="20"/>
              </w:rPr>
              <w:t>Zakres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644F20" w:rsidRDefault="006D2D4B" w:rsidP="00CC0C7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44F20">
              <w:rPr>
                <w:rFonts w:ascii="Arial Narrow" w:hAnsi="Arial Narrow"/>
                <w:b/>
                <w:sz w:val="20"/>
                <w:szCs w:val="20"/>
              </w:rPr>
              <w:t>Należne punkty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1455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644F20" w:rsidRDefault="00296EF1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Zadanie będzie realizowane</w:t>
            </w:r>
            <w:r w:rsidR="006D2D4B" w:rsidRPr="00644F2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44F20" w:rsidRPr="00644F2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44F20" w:rsidRPr="00644F20">
              <w:rPr>
                <w:rFonts w:ascii="Arial Narrow" w:hAnsi="Arial Narrow"/>
                <w:sz w:val="20"/>
                <w:szCs w:val="20"/>
              </w:rPr>
              <w:br/>
            </w:r>
            <w:r w:rsidR="006D2D4B" w:rsidRPr="00644F20">
              <w:rPr>
                <w:rFonts w:ascii="Arial Narrow" w:hAnsi="Arial Narrow"/>
                <w:sz w:val="20"/>
                <w:szCs w:val="20"/>
              </w:rPr>
              <w:t>w miejscowości, z której najkrótszy dojazd drogą publiczną do miejscowości gminnej wynosi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 xml:space="preserve">X ≥ 10 km 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0-3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6D2D4B" w:rsidRPr="00644F20" w:rsidRDefault="006D2D4B" w:rsidP="006D2D4B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Kryterium to pozwoli na premiowanie </w:t>
            </w:r>
            <w:r w:rsidR="00296EF1" w:rsidRPr="00644F20">
              <w:rPr>
                <w:rFonts w:ascii="Arial Narrow" w:hAnsi="Arial Narrow"/>
                <w:sz w:val="22"/>
                <w:szCs w:val="22"/>
              </w:rPr>
              <w:t xml:space="preserve">zadań </w:t>
            </w:r>
            <w:r w:rsidRPr="00644F20">
              <w:rPr>
                <w:rFonts w:ascii="Arial Narrow" w:hAnsi="Arial Narrow"/>
                <w:sz w:val="22"/>
                <w:szCs w:val="22"/>
              </w:rPr>
              <w:t>powstających w miejscowościach oddalonych od lokalnych centrów</w:t>
            </w:r>
            <w:r w:rsidR="00CC0C76" w:rsidRPr="00644F20">
              <w:rPr>
                <w:rFonts w:ascii="Arial Narrow" w:hAnsi="Arial Narrow"/>
                <w:sz w:val="22"/>
                <w:szCs w:val="22"/>
              </w:rPr>
              <w:t>,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jakimi są miejscowości gminne i pozwoli real</w:t>
            </w:r>
            <w:r w:rsidR="00CC0C76" w:rsidRPr="00644F20">
              <w:rPr>
                <w:rFonts w:ascii="Arial Narrow" w:hAnsi="Arial Narrow"/>
                <w:sz w:val="22"/>
                <w:szCs w:val="22"/>
              </w:rPr>
              <w:t>izować tzw. zrównoważony rozwój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poprzez premiowanie </w:t>
            </w:r>
            <w:r w:rsidR="00296EF1" w:rsidRPr="00644F20">
              <w:rPr>
                <w:rFonts w:ascii="Arial Narrow" w:hAnsi="Arial Narrow"/>
                <w:sz w:val="22"/>
                <w:szCs w:val="22"/>
              </w:rPr>
              <w:t xml:space="preserve">zadań </w:t>
            </w:r>
            <w:r w:rsidRPr="00644F20">
              <w:rPr>
                <w:rFonts w:ascii="Arial Narrow" w:hAnsi="Arial Narrow"/>
                <w:sz w:val="22"/>
                <w:szCs w:val="22"/>
              </w:rPr>
              <w:t>zaplanowanych do realizacji w miejscowościach oddalonych od miejscowości gminnych. Im dalsze usytuowanie infrastruktury lub przedsiębiorstwa</w:t>
            </w:r>
            <w:r w:rsidR="00CC0C76" w:rsidRPr="00644F20">
              <w:rPr>
                <w:rFonts w:ascii="Arial Narrow" w:hAnsi="Arial Narrow"/>
                <w:sz w:val="22"/>
                <w:szCs w:val="22"/>
              </w:rPr>
              <w:t>,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tym więcej punktów. </w:t>
            </w:r>
          </w:p>
          <w:p w:rsidR="006D2D4B" w:rsidRPr="00644F20" w:rsidRDefault="006D2D4B" w:rsidP="006D2D4B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Weryfikacja odbędzie się głównie na podstawie wydruku ze strony </w:t>
            </w:r>
            <w:hyperlink r:id="rId6" w:history="1">
              <w:r w:rsidRPr="00644F20"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</w:rPr>
                <w:t>https://www.google.pl/maps</w:t>
              </w:r>
            </w:hyperlink>
            <w:r w:rsidR="00E70EFD" w:rsidRPr="00644F20">
              <w:rPr>
                <w:rStyle w:val="Hipercze"/>
                <w:rFonts w:ascii="Arial Narrow" w:hAnsi="Arial Narrow"/>
                <w:color w:val="auto"/>
                <w:sz w:val="22"/>
                <w:szCs w:val="22"/>
                <w:u w:val="none"/>
              </w:rPr>
              <w:t>,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wskazującego najkrótszy dojazd drogą publiczną do miejscowości gminnej z miejscowo</w:t>
            </w:r>
            <w:r w:rsidR="00296EF1" w:rsidRPr="00644F20">
              <w:rPr>
                <w:rFonts w:ascii="Arial Narrow" w:hAnsi="Arial Narrow"/>
                <w:sz w:val="22"/>
                <w:szCs w:val="22"/>
              </w:rPr>
              <w:t>ści, w której będzie realizowane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96EF1" w:rsidRPr="00644F20">
              <w:rPr>
                <w:rFonts w:ascii="Arial Narrow" w:hAnsi="Arial Narrow"/>
                <w:sz w:val="22"/>
                <w:szCs w:val="22"/>
              </w:rPr>
              <w:t>zadanie</w:t>
            </w:r>
            <w:r w:rsidR="00E70EFD" w:rsidRPr="00644F20">
              <w:rPr>
                <w:rFonts w:ascii="Arial Narrow" w:hAnsi="Arial Narrow"/>
                <w:sz w:val="22"/>
                <w:szCs w:val="22"/>
              </w:rPr>
              <w:t>,</w:t>
            </w:r>
            <w:r w:rsidR="00BA4539" w:rsidRPr="00644F20">
              <w:rPr>
                <w:rFonts w:ascii="Arial Narrow" w:hAnsi="Arial Narrow"/>
                <w:sz w:val="22"/>
                <w:szCs w:val="22"/>
              </w:rPr>
              <w:t xml:space="preserve"> załączonego przez W</w:t>
            </w:r>
            <w:r w:rsidRPr="00644F20">
              <w:rPr>
                <w:rFonts w:ascii="Arial Narrow" w:hAnsi="Arial Narrow"/>
                <w:sz w:val="22"/>
                <w:szCs w:val="22"/>
              </w:rPr>
              <w:t>nioskodawcę. Liczba kilometrów zostanie przyrównana do określonych przedziałów i na tej podstawie przyznana zostanie liczba punktów.</w:t>
            </w:r>
          </w:p>
          <w:p w:rsidR="006D2D4B" w:rsidRPr="00644F20" w:rsidRDefault="006D2D4B" w:rsidP="006D2D4B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Podejście to jest odpowiedzią na wyniki diagnozy wskazujące, że im miejsce zamieszkania jest dalsze od miejscowości gminnej, tym trudniejszy dostęp do miejsc pracy, dóbr i usług oraz infrastruktury rekreacyjnej</w:t>
            </w:r>
            <w:r w:rsidR="00E70EFD" w:rsidRPr="00644F20">
              <w:rPr>
                <w:rFonts w:ascii="Arial Narrow" w:hAnsi="Arial Narrow"/>
                <w:sz w:val="22"/>
                <w:szCs w:val="22"/>
              </w:rPr>
              <w:t>/turystycznej</w:t>
            </w:r>
            <w:r w:rsidRPr="00644F20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6D2D4B" w:rsidRPr="00644F20" w:rsidRDefault="006D2D4B" w:rsidP="006D2D4B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Kryterium premiuje </w:t>
            </w:r>
            <w:r w:rsidR="00296EF1" w:rsidRPr="00644F20">
              <w:rPr>
                <w:rFonts w:ascii="Arial Narrow" w:hAnsi="Arial Narrow"/>
                <w:sz w:val="22"/>
                <w:szCs w:val="22"/>
              </w:rPr>
              <w:t>zadania</w:t>
            </w:r>
            <w:r w:rsidRPr="00644F20">
              <w:rPr>
                <w:rFonts w:ascii="Arial Narrow" w:hAnsi="Arial Narrow"/>
                <w:sz w:val="22"/>
                <w:szCs w:val="22"/>
              </w:rPr>
              <w:t>, które przyczynią się do osiągnięcia celu ogólnego 1.0 poprawiając warunki życia mieszkańców poprzez ułatwienie dostępu do infrastruktury rekreacyjnej oraz wskaźnika produktu – nowe miejsca rekreacji.</w:t>
            </w:r>
            <w:r w:rsidR="00E70EFD" w:rsidRPr="00644F20">
              <w:rPr>
                <w:rFonts w:ascii="Arial Narrow" w:hAnsi="Arial Narrow"/>
                <w:sz w:val="22"/>
                <w:szCs w:val="22"/>
              </w:rPr>
              <w:t xml:space="preserve"> Ponadto premiuje </w:t>
            </w:r>
            <w:r w:rsidR="00296EF1" w:rsidRPr="00644F20">
              <w:rPr>
                <w:rFonts w:ascii="Arial Narrow" w:hAnsi="Arial Narrow"/>
                <w:sz w:val="22"/>
                <w:szCs w:val="22"/>
              </w:rPr>
              <w:t>zadania</w:t>
            </w:r>
            <w:r w:rsidR="00E70EFD" w:rsidRPr="00644F20">
              <w:rPr>
                <w:rFonts w:ascii="Arial Narrow" w:hAnsi="Arial Narrow"/>
                <w:sz w:val="22"/>
                <w:szCs w:val="22"/>
              </w:rPr>
              <w:t>, które przyczynią się do osiągnięcia celu ogólnego 3.0 stwarzając nowe miejsca infrastruktury turystycznej dostępnej zarówno dla turystów, jak i dla lokalnej społeczności.</w:t>
            </w:r>
          </w:p>
          <w:p w:rsidR="006D2D4B" w:rsidRPr="00644F20" w:rsidRDefault="00DB6859" w:rsidP="006D2D4B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Rozwój </w:t>
            </w:r>
            <w:r w:rsidR="006D2D4B" w:rsidRPr="00644F20">
              <w:rPr>
                <w:rFonts w:ascii="Arial Narrow" w:hAnsi="Arial Narrow"/>
                <w:sz w:val="22"/>
                <w:szCs w:val="22"/>
              </w:rPr>
              <w:t>niekomercyjnej i ogólnodostępnej infrastruktury rekreacyjnej</w:t>
            </w:r>
            <w:r w:rsidR="00E70EFD" w:rsidRPr="00644F20">
              <w:rPr>
                <w:rFonts w:ascii="Arial Narrow" w:hAnsi="Arial Narrow"/>
                <w:sz w:val="22"/>
                <w:szCs w:val="22"/>
              </w:rPr>
              <w:t>/turystycznej</w:t>
            </w:r>
            <w:r w:rsidR="006D2D4B"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poprzez budowę nowych obiektów </w:t>
            </w:r>
            <w:r w:rsidR="006D2D4B" w:rsidRPr="00644F20">
              <w:rPr>
                <w:rFonts w:ascii="Arial Narrow" w:hAnsi="Arial Narrow"/>
                <w:sz w:val="22"/>
                <w:szCs w:val="22"/>
              </w:rPr>
              <w:t>spełnia wymogi  PROW 2014-2020, gdyż sprzyja realizacji celu związanego z ochroną środowiska i klimatu.</w:t>
            </w:r>
          </w:p>
          <w:p w:rsidR="006D2D4B" w:rsidRPr="00644F20" w:rsidRDefault="00BA4539" w:rsidP="00644F20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Jeżeli W</w:t>
            </w:r>
            <w:r w:rsidR="006D2D4B" w:rsidRPr="00644F20">
              <w:rPr>
                <w:rFonts w:ascii="Arial Narrow" w:hAnsi="Arial Narrow"/>
                <w:sz w:val="22"/>
                <w:szCs w:val="22"/>
              </w:rPr>
              <w:t xml:space="preserve">nioskodawca realizuje </w:t>
            </w:r>
            <w:r w:rsidR="00296EF1" w:rsidRPr="00644F20">
              <w:rPr>
                <w:rFonts w:ascii="Arial Narrow" w:hAnsi="Arial Narrow"/>
                <w:sz w:val="22"/>
                <w:szCs w:val="22"/>
              </w:rPr>
              <w:t xml:space="preserve">zadania </w:t>
            </w:r>
            <w:r w:rsidR="006D2D4B" w:rsidRPr="00644F20">
              <w:rPr>
                <w:rFonts w:ascii="Arial Narrow" w:hAnsi="Arial Narrow"/>
                <w:sz w:val="22"/>
                <w:szCs w:val="22"/>
              </w:rPr>
              <w:t>w kilku miejscowościach przyjmuje się opcję dla niego najkorzystniejszą.</w:t>
            </w:r>
          </w:p>
        </w:tc>
      </w:tr>
      <w:tr w:rsidR="00644F20" w:rsidRPr="00644F20" w:rsidTr="00513EE7">
        <w:trPr>
          <w:gridAfter w:val="1"/>
          <w:wAfter w:w="28" w:type="dxa"/>
          <w:cantSplit/>
          <w:trHeight w:val="1455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 xml:space="preserve">10 km &gt;X ≥ 5 km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1455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 xml:space="preserve">5 km &gt;X ≥ 3 km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1455"/>
          <w:jc w:val="center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 xml:space="preserve">3 km &gt; X </w:t>
            </w:r>
            <w:r w:rsidRPr="00644F20">
              <w:rPr>
                <w:rFonts w:ascii="Arial Narrow" w:hAnsi="Arial Narrow"/>
                <w:sz w:val="20"/>
                <w:szCs w:val="20"/>
              </w:rPr>
              <w:br/>
              <w:t xml:space="preserve">lub miejscowość ta jest miejscowością gminną 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1317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644F20" w:rsidRDefault="006D2D4B" w:rsidP="00644F20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 xml:space="preserve">Realizacja </w:t>
            </w:r>
            <w:r w:rsidR="00296EF1" w:rsidRPr="00644F20">
              <w:rPr>
                <w:rFonts w:ascii="Arial Narrow" w:hAnsi="Arial Narrow"/>
                <w:sz w:val="20"/>
                <w:szCs w:val="20"/>
              </w:rPr>
              <w:t xml:space="preserve">zadania </w:t>
            </w:r>
            <w:r w:rsidRPr="00644F20">
              <w:rPr>
                <w:rFonts w:ascii="Arial Narrow" w:hAnsi="Arial Narrow"/>
                <w:sz w:val="20"/>
                <w:szCs w:val="20"/>
              </w:rPr>
              <w:t>pozwoli osiągnąć wskaźnik produktu na poziomie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X ≥ 4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4 pkt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1-4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6D2D4B" w:rsidRPr="00644F20" w:rsidRDefault="006D2D4B" w:rsidP="00BA4539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Kryterium to premiuje skalę realizacji wskaźnika. Im wyższa</w:t>
            </w:r>
            <w:r w:rsidR="00E70EFD" w:rsidRPr="00644F20">
              <w:rPr>
                <w:rFonts w:ascii="Arial Narrow" w:hAnsi="Arial Narrow"/>
                <w:sz w:val="22"/>
                <w:szCs w:val="22"/>
              </w:rPr>
              <w:t>,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tym wyżej punktowana. </w:t>
            </w:r>
          </w:p>
          <w:p w:rsidR="006D2D4B" w:rsidRPr="00644F20" w:rsidRDefault="006D2D4B" w:rsidP="00BA4539">
            <w:pPr>
              <w:jc w:val="both"/>
              <w:rPr>
                <w:rFonts w:ascii="Arial Narrow" w:hAnsi="Arial Narrow"/>
                <w:b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Weryfikacja nastąpi głównie na podstawie opisu spełnienia tego kryterium </w:t>
            </w:r>
            <w:r w:rsidR="00BA4539"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A4539" w:rsidRPr="00644F20">
              <w:rPr>
                <w:rFonts w:ascii="Arial Narrow" w:hAnsi="Arial Narrow"/>
                <w:sz w:val="22"/>
                <w:szCs w:val="22"/>
              </w:rPr>
              <w:br/>
            </w:r>
            <w:r w:rsidRPr="00644F20">
              <w:rPr>
                <w:rFonts w:ascii="Arial Narrow" w:hAnsi="Arial Narrow"/>
                <w:sz w:val="22"/>
                <w:szCs w:val="22"/>
              </w:rPr>
              <w:t>w Wymaganym dokumencie potwierdzającym spełnienie kryteriów wyboru składanym przez Wnioskodawcę, które ma formę oświadczenia.</w:t>
            </w:r>
          </w:p>
          <w:p w:rsidR="006D2D4B" w:rsidRPr="00644F20" w:rsidRDefault="006D2D4B" w:rsidP="00BA4539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Punkty przyznaje się dla wartości określonej w opisie</w:t>
            </w:r>
            <w:r w:rsidR="00BA4539" w:rsidRPr="00644F20">
              <w:rPr>
                <w:rFonts w:ascii="Arial Narrow" w:hAnsi="Arial Narrow"/>
                <w:sz w:val="22"/>
                <w:szCs w:val="22"/>
              </w:rPr>
              <w:t>,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wskazującej liczbę odrębnych</w:t>
            </w:r>
            <w:r w:rsidR="00737D7D" w:rsidRPr="00644F20">
              <w:rPr>
                <w:rFonts w:ascii="Arial Narrow" w:hAnsi="Arial Narrow"/>
                <w:sz w:val="22"/>
                <w:szCs w:val="22"/>
              </w:rPr>
              <w:t xml:space="preserve"> (zlokalizowanych na odrębnych działkach ewidencyjnych)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obiektów infrastruktury według określonych wartości. Najwięcej punktów otrzymują </w:t>
            </w:r>
            <w:r w:rsidR="00296EF1" w:rsidRPr="00644F20">
              <w:rPr>
                <w:rFonts w:ascii="Arial Narrow" w:hAnsi="Arial Narrow"/>
                <w:sz w:val="22"/>
                <w:szCs w:val="22"/>
              </w:rPr>
              <w:t>zadania</w:t>
            </w:r>
            <w:r w:rsidRPr="00644F20">
              <w:rPr>
                <w:rFonts w:ascii="Arial Narrow" w:hAnsi="Arial Narrow"/>
                <w:sz w:val="22"/>
                <w:szCs w:val="22"/>
              </w:rPr>
              <w:t>, które podniosą realizację wskaźnika p</w:t>
            </w:r>
            <w:r w:rsidR="00296EF1" w:rsidRPr="00644F20">
              <w:rPr>
                <w:rFonts w:ascii="Arial Narrow" w:hAnsi="Arial Narrow"/>
                <w:sz w:val="22"/>
                <w:szCs w:val="22"/>
              </w:rPr>
              <w:t xml:space="preserve">roduktu o 4 i więcej jednostek, </w:t>
            </w:r>
            <w:r w:rsidRPr="00644F20">
              <w:rPr>
                <w:rFonts w:ascii="Arial Narrow" w:hAnsi="Arial Narrow"/>
                <w:sz w:val="22"/>
                <w:szCs w:val="22"/>
              </w:rPr>
              <w:t>a najmniej</w:t>
            </w:r>
            <w:r w:rsidR="00BA4539" w:rsidRPr="00644F20">
              <w:rPr>
                <w:rFonts w:ascii="Arial Narrow" w:hAnsi="Arial Narrow"/>
                <w:sz w:val="22"/>
                <w:szCs w:val="22"/>
              </w:rPr>
              <w:t>,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gdy realizują tylko jeden obiekt.</w:t>
            </w:r>
          </w:p>
          <w:p w:rsidR="006D2D4B" w:rsidRPr="00644F20" w:rsidRDefault="006D2D4B" w:rsidP="00BA4539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Kryterium odnosi się do infrastruktury rekreacyjnej</w:t>
            </w:r>
            <w:r w:rsidR="00BA4539" w:rsidRPr="00644F20">
              <w:rPr>
                <w:rFonts w:ascii="Arial Narrow" w:hAnsi="Arial Narrow"/>
                <w:sz w:val="22"/>
                <w:szCs w:val="22"/>
              </w:rPr>
              <w:t>/turystycznej,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zatem odpowiada na zdiagnozowany trudny dostęp do tej infrastruktury i ma na celu wpływ na dynamikę </w:t>
            </w:r>
            <w:r w:rsidR="00BA4539"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A4539" w:rsidRPr="00644F20">
              <w:rPr>
                <w:rFonts w:ascii="Arial Narrow" w:hAnsi="Arial Narrow"/>
                <w:sz w:val="22"/>
                <w:szCs w:val="22"/>
              </w:rPr>
              <w:br/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i skalę osiągania wskaźnika, co wpłynie na dostępność infrastruktury. </w:t>
            </w:r>
          </w:p>
          <w:p w:rsidR="006D2D4B" w:rsidRPr="00644F20" w:rsidRDefault="006D2D4B" w:rsidP="00BA4539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Ze względu na istotę osiągania wskaźników w kryterium tym można uzyskać aż 4 pkt.</w:t>
            </w:r>
          </w:p>
          <w:p w:rsidR="006D2D4B" w:rsidRPr="00644F20" w:rsidRDefault="006D2D4B" w:rsidP="00E8227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Kryterium premiuje </w:t>
            </w:r>
            <w:r w:rsidR="00296EF1" w:rsidRPr="00644F20">
              <w:rPr>
                <w:rFonts w:ascii="Arial Narrow" w:hAnsi="Arial Narrow"/>
                <w:sz w:val="22"/>
                <w:szCs w:val="22"/>
              </w:rPr>
              <w:t>zadania</w:t>
            </w:r>
            <w:r w:rsidRPr="00644F20">
              <w:rPr>
                <w:rFonts w:ascii="Arial Narrow" w:hAnsi="Arial Narrow"/>
                <w:sz w:val="22"/>
                <w:szCs w:val="22"/>
              </w:rPr>
              <w:t>, które przyczynią się do osiągnięcia celu ogólnego 1.0 poprawiając warunki życia mieszkańców poprzez ułatwienie dostępu</w:t>
            </w:r>
            <w:r w:rsidR="00BA4539" w:rsidRPr="00644F20">
              <w:rPr>
                <w:rFonts w:ascii="Arial Narrow" w:hAnsi="Arial Narrow"/>
                <w:sz w:val="22"/>
                <w:szCs w:val="22"/>
              </w:rPr>
              <w:t xml:space="preserve"> do infrastruktury rekreacyjnej, a także tych </w:t>
            </w:r>
            <w:r w:rsidR="00296EF1" w:rsidRPr="00644F20">
              <w:rPr>
                <w:rFonts w:ascii="Arial Narrow" w:hAnsi="Arial Narrow"/>
                <w:sz w:val="22"/>
                <w:szCs w:val="22"/>
              </w:rPr>
              <w:t>zadań</w:t>
            </w:r>
            <w:r w:rsidR="00BA4539" w:rsidRPr="00644F20">
              <w:rPr>
                <w:rFonts w:ascii="Arial Narrow" w:hAnsi="Arial Narrow"/>
                <w:sz w:val="22"/>
                <w:szCs w:val="22"/>
              </w:rPr>
              <w:t>, które odpowiadając na cel ogólny 3.0 umożliwią wybudowanie większej ilości nowych obiektów infrastruktury turystycznej, która uatrakcyjni pod kątem turystycznym obszar STOWARZYSZENIA LGD BRAMA LUBUSKA.</w:t>
            </w:r>
          </w:p>
        </w:tc>
      </w:tr>
      <w:tr w:rsidR="00644F20" w:rsidRPr="00644F20" w:rsidTr="00513EE7">
        <w:trPr>
          <w:gridAfter w:val="1"/>
          <w:wAfter w:w="28" w:type="dxa"/>
          <w:cantSplit/>
          <w:trHeight w:val="1318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X =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1318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X =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1526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X = 1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1520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644F20" w:rsidRDefault="006D2D4B" w:rsidP="00644F20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 xml:space="preserve">W realizacji </w:t>
            </w:r>
            <w:r w:rsidR="00737D7D" w:rsidRPr="00644F20">
              <w:rPr>
                <w:rFonts w:ascii="Arial Narrow" w:hAnsi="Arial Narrow"/>
                <w:sz w:val="20"/>
                <w:szCs w:val="20"/>
              </w:rPr>
              <w:t xml:space="preserve">zadania </w:t>
            </w:r>
            <w:r w:rsidRPr="00644F20">
              <w:rPr>
                <w:rFonts w:ascii="Arial Narrow" w:hAnsi="Arial Narrow"/>
                <w:sz w:val="20"/>
                <w:szCs w:val="20"/>
              </w:rPr>
              <w:t>założono czynny udział partnerów z sektora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Gospodarczego – przedsiębiorcy działającego na ter</w:t>
            </w:r>
            <w:r w:rsidR="00EE14EE" w:rsidRPr="00644F20">
              <w:rPr>
                <w:rFonts w:ascii="Arial Narrow" w:hAnsi="Arial Narrow"/>
                <w:sz w:val="20"/>
                <w:szCs w:val="20"/>
              </w:rPr>
              <w:t>enie gminy, w której realizowany</w:t>
            </w:r>
            <w:r w:rsidRPr="00644F20">
              <w:rPr>
                <w:rFonts w:ascii="Arial Narrow" w:hAnsi="Arial Narrow"/>
                <w:sz w:val="20"/>
                <w:szCs w:val="20"/>
              </w:rPr>
              <w:t xml:space="preserve"> będzie grant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0-2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1C5F06" w:rsidRPr="00644F20" w:rsidRDefault="001C5F06" w:rsidP="001C5F06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Punkty za realizację grantu w partnerstwie powodującym współpracę sektorów, </w:t>
            </w:r>
            <w:r w:rsidR="00EE14EE"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E14EE" w:rsidRPr="00644F20">
              <w:rPr>
                <w:rFonts w:ascii="Arial Narrow" w:hAnsi="Arial Narrow"/>
                <w:sz w:val="22"/>
                <w:szCs w:val="22"/>
              </w:rPr>
              <w:br/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w związku z tym, że </w:t>
            </w:r>
            <w:proofErr w:type="spellStart"/>
            <w:r w:rsidRPr="00644F20">
              <w:rPr>
                <w:rFonts w:ascii="Arial Narrow" w:hAnsi="Arial Narrow"/>
                <w:sz w:val="22"/>
                <w:szCs w:val="22"/>
              </w:rPr>
              <w:t>Grantobiorcą</w:t>
            </w:r>
            <w:proofErr w:type="spellEnd"/>
            <w:r w:rsidRPr="00644F20">
              <w:rPr>
                <w:rFonts w:ascii="Arial Narrow" w:hAnsi="Arial Narrow"/>
                <w:sz w:val="22"/>
                <w:szCs w:val="22"/>
              </w:rPr>
              <w:t xml:space="preserve"> może być jedynie NGO, otrzymają </w:t>
            </w:r>
            <w:r w:rsidR="00296EF1" w:rsidRPr="00644F20">
              <w:rPr>
                <w:rFonts w:ascii="Arial Narrow" w:hAnsi="Arial Narrow"/>
                <w:sz w:val="22"/>
                <w:szCs w:val="22"/>
              </w:rPr>
              <w:t xml:space="preserve">zadania, 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br/>
            </w:r>
            <w:r w:rsidRPr="00644F20">
              <w:rPr>
                <w:rFonts w:ascii="Arial Narrow" w:hAnsi="Arial Narrow"/>
                <w:sz w:val="22"/>
                <w:szCs w:val="22"/>
              </w:rPr>
              <w:t>w których w oświadczeniu</w:t>
            </w:r>
            <w:r w:rsidR="00737D7D" w:rsidRPr="00644F20">
              <w:rPr>
                <w:rFonts w:ascii="Arial Narrow" w:hAnsi="Arial Narrow"/>
                <w:sz w:val="22"/>
                <w:szCs w:val="22"/>
              </w:rPr>
              <w:t xml:space="preserve"> lub umowie o wzajemnej współpracy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złożonym wraz 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br/>
            </w:r>
            <w:r w:rsidRPr="00644F20">
              <w:rPr>
                <w:rFonts w:ascii="Arial Narrow" w:hAnsi="Arial Narrow"/>
                <w:sz w:val="22"/>
                <w:szCs w:val="22"/>
              </w:rPr>
              <w:t>z wnioskiem wskazany zostanie jednoznaczny udział partnera z sektora publicznego lub gospodarczego</w:t>
            </w:r>
            <w:r w:rsidR="00EE14EE" w:rsidRPr="00644F20">
              <w:rPr>
                <w:rFonts w:ascii="Arial Narrow" w:hAnsi="Arial Narrow"/>
                <w:sz w:val="22"/>
                <w:szCs w:val="22"/>
              </w:rPr>
              <w:t>,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opisując zakres współpracy wpływający na realizację celu. 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br/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W ramach kryterium uzyskać można </w:t>
            </w:r>
            <w:r w:rsidR="00737D7D" w:rsidRPr="00644F20">
              <w:rPr>
                <w:rFonts w:ascii="Arial Narrow" w:hAnsi="Arial Narrow"/>
                <w:sz w:val="22"/>
                <w:szCs w:val="22"/>
              </w:rPr>
              <w:t xml:space="preserve">0 pkt, gdy brak jest współpracy 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lub współpraca nawiązana jest z innym NGO, 1 pkt, gdy współpraca podjęta zostanie z sektorem </w:t>
            </w:r>
            <w:r w:rsidR="002B13E4" w:rsidRPr="00644F20">
              <w:rPr>
                <w:rFonts w:ascii="Arial Narrow" w:hAnsi="Arial Narrow"/>
                <w:sz w:val="22"/>
                <w:szCs w:val="22"/>
              </w:rPr>
              <w:t xml:space="preserve">gospodarczym lub </w:t>
            </w:r>
            <w:r w:rsidR="00EE14EE" w:rsidRPr="00644F20">
              <w:rPr>
                <w:rFonts w:ascii="Arial Narrow" w:hAnsi="Arial Narrow"/>
                <w:sz w:val="22"/>
                <w:szCs w:val="22"/>
              </w:rPr>
              <w:t>publicznym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lub 2 pkt, gdy współpraca jest i z sektorem gospodarczym</w:t>
            </w:r>
            <w:r w:rsidR="00EE14EE" w:rsidRPr="00644F20">
              <w:rPr>
                <w:rFonts w:ascii="Arial Narrow" w:hAnsi="Arial Narrow"/>
                <w:sz w:val="22"/>
                <w:szCs w:val="22"/>
              </w:rPr>
              <w:t xml:space="preserve"> i publicznym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1C5F06" w:rsidRPr="00644F20" w:rsidRDefault="001C5F06" w:rsidP="003832E8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Kryterium to odnosi się również do elementu diagnozy</w:t>
            </w:r>
            <w:r w:rsidR="00EE14EE" w:rsidRPr="00644F20">
              <w:rPr>
                <w:rFonts w:ascii="Arial Narrow" w:hAnsi="Arial Narrow"/>
                <w:sz w:val="22"/>
                <w:szCs w:val="22"/>
              </w:rPr>
              <w:t>,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jakim jest brak współpracy. </w:t>
            </w:r>
          </w:p>
          <w:p w:rsidR="001C5F06" w:rsidRPr="00644F20" w:rsidRDefault="001C5F06" w:rsidP="003832E8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Jest to zgodne z polityką i spełnia wymogi PROW 2014-2020. </w:t>
            </w:r>
          </w:p>
          <w:p w:rsidR="00C4223A" w:rsidRPr="00644F20" w:rsidRDefault="00C4223A" w:rsidP="003832E8">
            <w:pPr>
              <w:jc w:val="both"/>
              <w:rPr>
                <w:rFonts w:ascii="Arial Narrow" w:hAnsi="Arial Narrow"/>
                <w:strike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1401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Publicznego – Gmin</w:t>
            </w:r>
            <w:r w:rsidR="00EE14EE" w:rsidRPr="00644F20">
              <w:rPr>
                <w:rFonts w:ascii="Arial Narrow" w:hAnsi="Arial Narrow"/>
                <w:sz w:val="20"/>
                <w:szCs w:val="20"/>
              </w:rPr>
              <w:t>y, na terenie której realizowany</w:t>
            </w:r>
            <w:r w:rsidRPr="00644F20">
              <w:rPr>
                <w:rFonts w:ascii="Arial Narrow" w:hAnsi="Arial Narrow"/>
                <w:sz w:val="20"/>
                <w:szCs w:val="20"/>
              </w:rPr>
              <w:t xml:space="preserve"> będzie grant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1996"/>
          <w:jc w:val="center"/>
        </w:trPr>
        <w:tc>
          <w:tcPr>
            <w:tcW w:w="31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Społecznego (tak jak Wnioskodawca) – co nie wpływa na budowanie partnerstw międzysektorowych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2684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lastRenderedPageBreak/>
              <w:t>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644F20" w:rsidRDefault="00296EF1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Zadanie będzie wpływało</w:t>
            </w:r>
            <w:r w:rsidR="006D2D4B" w:rsidRPr="00644F20">
              <w:rPr>
                <w:rFonts w:ascii="Arial Narrow" w:hAnsi="Arial Narrow"/>
                <w:sz w:val="20"/>
                <w:szCs w:val="20"/>
              </w:rPr>
              <w:t xml:space="preserve"> pozytywnie na realizację celu ogólnego innego niż ten</w:t>
            </w:r>
            <w:r w:rsidR="00EE14EE" w:rsidRPr="00644F20">
              <w:rPr>
                <w:rFonts w:ascii="Arial Narrow" w:hAnsi="Arial Narrow"/>
                <w:sz w:val="20"/>
                <w:szCs w:val="20"/>
              </w:rPr>
              <w:t>,</w:t>
            </w:r>
            <w:r w:rsidR="006D2D4B" w:rsidRPr="00644F20">
              <w:rPr>
                <w:rFonts w:ascii="Arial Narrow" w:hAnsi="Arial Narrow"/>
                <w:sz w:val="20"/>
                <w:szCs w:val="20"/>
              </w:rPr>
              <w:t xml:space="preserve"> do którego przypisano przedsięwzięcie, gdyż sprzyja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poprawie jakości życia mieszkańców na obszarze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0-2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A06ACC" w:rsidRPr="00644F20" w:rsidRDefault="00A06ACC" w:rsidP="00A06AC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Celem tego kryterium jest premiowanie </w:t>
            </w:r>
            <w:r w:rsidR="00296EF1" w:rsidRPr="00644F20">
              <w:rPr>
                <w:rFonts w:ascii="Arial Narrow" w:hAnsi="Arial Narrow"/>
                <w:sz w:val="22"/>
                <w:szCs w:val="22"/>
              </w:rPr>
              <w:t>zadań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, które pozytywnie wpływają lub oddziałują na inne cele niż ten, któremu bezpośrednio jest przypisane realizowane przez </w:t>
            </w:r>
            <w:r w:rsidR="00296EF1" w:rsidRPr="00644F20">
              <w:rPr>
                <w:rFonts w:ascii="Arial Narrow" w:hAnsi="Arial Narrow"/>
                <w:sz w:val="22"/>
                <w:szCs w:val="22"/>
              </w:rPr>
              <w:t>zadanie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przedsięwzięcie. Punkty w tym kryterium są sumowane, a </w:t>
            </w:r>
            <w:r w:rsidR="00296EF1" w:rsidRPr="00644F20">
              <w:rPr>
                <w:rFonts w:ascii="Arial Narrow" w:hAnsi="Arial Narrow"/>
                <w:sz w:val="22"/>
                <w:szCs w:val="22"/>
              </w:rPr>
              <w:t xml:space="preserve">zadanie 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może ich uzyskać maksymalnie 2, gdyż w LSR wyróżniono 3 cele ogólne, a jeden zawsze jest bezpośrednio realizowany przez </w:t>
            </w:r>
            <w:r w:rsidR="00296EF1" w:rsidRPr="00644F20">
              <w:rPr>
                <w:rFonts w:ascii="Arial Narrow" w:hAnsi="Arial Narrow"/>
                <w:sz w:val="22"/>
                <w:szCs w:val="22"/>
              </w:rPr>
              <w:t>zadanie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A06ACC" w:rsidRPr="00644F20" w:rsidRDefault="00A06ACC" w:rsidP="00A06ACC">
            <w:pPr>
              <w:jc w:val="both"/>
              <w:rPr>
                <w:rFonts w:ascii="Arial Narrow" w:hAnsi="Arial Narrow"/>
                <w:b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Weryfikacja nastąpi głównie na podstawie opisu spełnienia tego kryterium </w:t>
            </w:r>
            <w:r w:rsidR="00EE14EE"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E14EE" w:rsidRPr="00644F20">
              <w:rPr>
                <w:rFonts w:ascii="Arial Narrow" w:hAnsi="Arial Narrow"/>
                <w:sz w:val="22"/>
                <w:szCs w:val="22"/>
              </w:rPr>
              <w:br/>
            </w:r>
            <w:r w:rsidRPr="00644F20">
              <w:rPr>
                <w:rFonts w:ascii="Arial Narrow" w:hAnsi="Arial Narrow"/>
                <w:sz w:val="22"/>
                <w:szCs w:val="22"/>
              </w:rPr>
              <w:t>w Wymaganym dokumencie potwierdzającym spełnienie kryteriów wyboru składanym przez Wnioskodawcę, które ma formę oświadczenia.</w:t>
            </w:r>
          </w:p>
          <w:p w:rsidR="00A06ACC" w:rsidRPr="00644F20" w:rsidRDefault="00A06ACC" w:rsidP="00A06AC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W opisie tym zawarte musi zostać uzasadnienie </w:t>
            </w:r>
            <w:r w:rsidR="00E8227C" w:rsidRPr="00644F20">
              <w:rPr>
                <w:rFonts w:ascii="Arial Narrow" w:hAnsi="Arial Narrow"/>
                <w:sz w:val="22"/>
                <w:szCs w:val="22"/>
              </w:rPr>
              <w:t>pozytywnego oddziaływania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na realizację </w:t>
            </w:r>
            <w:r w:rsidR="00E8227C" w:rsidRPr="00644F20">
              <w:rPr>
                <w:rFonts w:ascii="Arial Narrow" w:hAnsi="Arial Narrow"/>
                <w:sz w:val="22"/>
                <w:szCs w:val="22"/>
              </w:rPr>
              <w:t>celu ogólnego innego niż ten, do którego przypisano przedsięwzięcie</w:t>
            </w:r>
            <w:r w:rsidR="00EE14EE" w:rsidRPr="00644F20">
              <w:rPr>
                <w:rFonts w:ascii="Arial Narrow" w:hAnsi="Arial Narrow"/>
                <w:sz w:val="22"/>
                <w:szCs w:val="22"/>
              </w:rPr>
              <w:t>,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nawiązujące do określonego w LSR</w:t>
            </w:r>
            <w:r w:rsidR="00E8227C" w:rsidRPr="00644F20">
              <w:rPr>
                <w:rFonts w:ascii="Arial Narrow" w:hAnsi="Arial Narrow"/>
                <w:sz w:val="22"/>
                <w:szCs w:val="22"/>
              </w:rPr>
              <w:t xml:space="preserve"> BL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wskaźnika oddziaływania związanego </w:t>
            </w:r>
            <w:r w:rsidR="00513EE7"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13EE7" w:rsidRPr="00644F20">
              <w:rPr>
                <w:rFonts w:ascii="Arial Narrow" w:hAnsi="Arial Narrow"/>
                <w:sz w:val="22"/>
                <w:szCs w:val="22"/>
              </w:rPr>
              <w:br/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z danym celem. </w:t>
            </w:r>
            <w:r w:rsidR="00E8227C" w:rsidRPr="00644F20">
              <w:rPr>
                <w:rFonts w:ascii="Arial Narrow" w:hAnsi="Arial Narrow"/>
                <w:sz w:val="22"/>
                <w:szCs w:val="22"/>
              </w:rPr>
              <w:t>Wskaźniki oddziaływania przypisane dla poszczególnych celów LSR BL są następujące:</w:t>
            </w:r>
          </w:p>
          <w:p w:rsidR="00E8227C" w:rsidRPr="00644F20" w:rsidRDefault="00E8227C" w:rsidP="00A06AC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- cel 1.0 (określony jako poprawa jakości życia mieszkańców na obszarze) – wskaźnik odziaływania: wzrost odsetka mieszkańców zadowolonych z życia na obszarze LGD BL – logiczne uzasadnienie, że przedmiotowe zadanie będzie wpływało na poprawę jakości życia mieszkańców obszaru LGD BL umożliwi zdobycie 1 punktu;</w:t>
            </w:r>
          </w:p>
          <w:p w:rsidR="00E8227C" w:rsidRPr="00644F20" w:rsidRDefault="00E8227C" w:rsidP="00A06AC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- cel 2.0 (określony jako rozwój przedsiębiorczości na obszarze) – wskaźnik oddziaływania: wzrost dochodów od działalności gospodarczej w gminach na obszarze LGD BL – logiczne uzasadnienie  i wykazanie, że przedmiotowe zadanie będzie przyczyniało się do wzrostu dochodów od działalności gospodarczej  </w:t>
            </w:r>
            <w:r w:rsidRPr="00644F20">
              <w:rPr>
                <w:rFonts w:ascii="Arial Narrow" w:hAnsi="Arial Narrow"/>
                <w:sz w:val="22"/>
                <w:szCs w:val="22"/>
              </w:rPr>
              <w:br/>
              <w:t>w gminach obszaru LGD BL umożliwi uzyskanie 1 punktu;</w:t>
            </w:r>
          </w:p>
          <w:p w:rsidR="00E8227C" w:rsidRPr="00644F20" w:rsidRDefault="00E8227C" w:rsidP="00A06AC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- cel 3.0 – (określony jako rozwój turystyki na obszarze) – wskaźnik oddziaływania: wzrost wpływów z opłat klimatycznych w gminach na obszarze LGD BL – logiczne uzasadnienie, dlaczego planow</w:t>
            </w:r>
            <w:r w:rsidR="00B12FAA" w:rsidRPr="00644F20">
              <w:rPr>
                <w:rFonts w:ascii="Arial Narrow" w:hAnsi="Arial Narrow"/>
                <w:sz w:val="22"/>
                <w:szCs w:val="22"/>
              </w:rPr>
              <w:t>ane do realizacji zadanie spowo</w:t>
            </w:r>
            <w:r w:rsidRPr="00644F20">
              <w:rPr>
                <w:rFonts w:ascii="Arial Narrow" w:hAnsi="Arial Narrow"/>
                <w:sz w:val="22"/>
                <w:szCs w:val="22"/>
              </w:rPr>
              <w:t>d</w:t>
            </w:r>
            <w:r w:rsidR="00B12FAA" w:rsidRPr="00644F20">
              <w:rPr>
                <w:rFonts w:ascii="Arial Narrow" w:hAnsi="Arial Narrow"/>
                <w:sz w:val="22"/>
                <w:szCs w:val="22"/>
              </w:rPr>
              <w:t>u</w:t>
            </w:r>
            <w:r w:rsidRPr="00644F20">
              <w:rPr>
                <w:rFonts w:ascii="Arial Narrow" w:hAnsi="Arial Narrow"/>
                <w:sz w:val="22"/>
                <w:szCs w:val="22"/>
              </w:rPr>
              <w:t>je, że obszar LGD BL stanie się atr</w:t>
            </w:r>
            <w:r w:rsidR="00B12FAA" w:rsidRPr="00644F20">
              <w:rPr>
                <w:rFonts w:ascii="Arial Narrow" w:hAnsi="Arial Narrow"/>
                <w:sz w:val="22"/>
                <w:szCs w:val="22"/>
              </w:rPr>
              <w:t>akcyjniejszy</w:t>
            </w:r>
            <w:r w:rsidRPr="00644F20">
              <w:rPr>
                <w:rFonts w:ascii="Arial Narrow" w:hAnsi="Arial Narrow"/>
                <w:sz w:val="22"/>
                <w:szCs w:val="22"/>
              </w:rPr>
              <w:t>m turystycznie i przyciągnie turystów na teren LGD BL, tym samym zwiększając wzrost wp</w:t>
            </w:r>
            <w:r w:rsidR="00B12FAA" w:rsidRPr="00644F20">
              <w:rPr>
                <w:rFonts w:ascii="Arial Narrow" w:hAnsi="Arial Narrow"/>
                <w:sz w:val="22"/>
                <w:szCs w:val="22"/>
              </w:rPr>
              <w:t>ływów z opłat klimatycznych, um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ożliwi uzyskanie 1 punktu. </w:t>
            </w:r>
          </w:p>
          <w:p w:rsidR="00A06ACC" w:rsidRPr="00644F20" w:rsidRDefault="00A06ACC" w:rsidP="00A06AC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Wpływa to bezpośrednio</w:t>
            </w:r>
            <w:r w:rsidR="00EE14EE" w:rsidRPr="00644F20">
              <w:rPr>
                <w:rFonts w:ascii="Arial Narrow" w:hAnsi="Arial Narrow"/>
                <w:sz w:val="22"/>
                <w:szCs w:val="22"/>
              </w:rPr>
              <w:t xml:space="preserve"> na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osiąganie celów LSR i odpowiada elementowi diagnozy, który mówił o braku współpracy i stosowaniu kompleksowych rozwiązań.</w:t>
            </w:r>
          </w:p>
          <w:p w:rsidR="006D2D4B" w:rsidRPr="00644F20" w:rsidRDefault="00A06ACC" w:rsidP="00A06A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Odpowiada to zintegrowaniu, które jest jednym z wymogów LSR, zatem odpowiada  PROW 2014-2020.</w:t>
            </w:r>
          </w:p>
        </w:tc>
      </w:tr>
      <w:tr w:rsidR="00644F20" w:rsidRPr="00644F20" w:rsidTr="00513EE7">
        <w:trPr>
          <w:gridAfter w:val="1"/>
          <w:wAfter w:w="28" w:type="dxa"/>
          <w:cantSplit/>
          <w:trHeight w:val="3251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 xml:space="preserve">rozwojowi przedsiębiorczości na obszarze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4106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 xml:space="preserve">rozwojowi turystyki na obszarze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557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644F20" w:rsidRDefault="00296EF1" w:rsidP="008854DE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Zadanie</w:t>
            </w:r>
            <w:r w:rsidR="006D2D4B" w:rsidRPr="00644F20">
              <w:rPr>
                <w:rFonts w:ascii="Arial Narrow" w:hAnsi="Arial Narrow"/>
                <w:sz w:val="20"/>
                <w:szCs w:val="20"/>
              </w:rPr>
              <w:t xml:space="preserve"> spełnia warunki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296EF1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zadanie będzie innowacyjne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644F20" w:rsidRDefault="00296EF1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0-3</w:t>
            </w:r>
            <w:r w:rsidR="006D2D4B" w:rsidRPr="00644F20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E4020F" w:rsidRPr="00644F20" w:rsidRDefault="00E4020F" w:rsidP="00E4020F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Kryterium to jest obowiązkowe, jeśli w LSR planuje się wykorzystanie funduszy  </w:t>
            </w:r>
            <w:r w:rsidRPr="00644F20">
              <w:rPr>
                <w:rFonts w:ascii="Arial Narrow" w:hAnsi="Arial Narrow"/>
                <w:sz w:val="22"/>
                <w:szCs w:val="22"/>
              </w:rPr>
              <w:br/>
              <w:t>w ramach PROW 2014-2020 – dowodzi to zawarcia w kryteriach wymogów programu.</w:t>
            </w:r>
          </w:p>
          <w:p w:rsidR="00E4020F" w:rsidRPr="00644F20" w:rsidRDefault="00E4020F" w:rsidP="00E4020F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Kryterium to odnosi się do diagnozy, gdyż na etapie konsultacji i opracowania danych zastanych wskazano: małe wykorzystanie innowacji, któr</w:t>
            </w:r>
            <w:r w:rsidR="00054840" w:rsidRPr="00644F20">
              <w:rPr>
                <w:rFonts w:ascii="Arial Narrow" w:hAnsi="Arial Narrow"/>
                <w:sz w:val="22"/>
                <w:szCs w:val="22"/>
              </w:rPr>
              <w:t>a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t xml:space="preserve"> jest szansą rozwoju obszaru,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duż</w:t>
            </w:r>
            <w:r w:rsidR="00054840" w:rsidRPr="00644F20">
              <w:rPr>
                <w:rFonts w:ascii="Arial Narrow" w:hAnsi="Arial Narrow"/>
                <w:sz w:val="22"/>
                <w:szCs w:val="22"/>
              </w:rPr>
              <w:t>e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zagrożenie dla obszaru</w:t>
            </w:r>
            <w:r w:rsidR="00054840" w:rsidRPr="00644F20">
              <w:rPr>
                <w:rFonts w:ascii="Arial Narrow" w:hAnsi="Arial Narrow"/>
                <w:sz w:val="22"/>
                <w:szCs w:val="22"/>
              </w:rPr>
              <w:t xml:space="preserve">, jakim </w:t>
            </w:r>
            <w:r w:rsidRPr="00644F20">
              <w:rPr>
                <w:rFonts w:ascii="Arial Narrow" w:hAnsi="Arial Narrow"/>
                <w:sz w:val="22"/>
                <w:szCs w:val="22"/>
              </w:rPr>
              <w:t>jest pogorszenie stanu środowiska naturalnego, istnie</w:t>
            </w:r>
            <w:r w:rsidR="00054840" w:rsidRPr="00644F20">
              <w:rPr>
                <w:rFonts w:ascii="Arial Narrow" w:hAnsi="Arial Narrow"/>
                <w:sz w:val="22"/>
                <w:szCs w:val="22"/>
              </w:rPr>
              <w:t>nie na obszarze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grup o utrudnionym dostępie do rynku pracy </w:t>
            </w:r>
            <w:r w:rsidR="00054840"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54840" w:rsidRPr="00644F20">
              <w:rPr>
                <w:rFonts w:ascii="Arial Narrow" w:hAnsi="Arial Narrow"/>
                <w:sz w:val="22"/>
                <w:szCs w:val="22"/>
              </w:rPr>
              <w:br/>
              <w:t>-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grupy te zostały zdefiniowane. Spójność kryterium z diagnozą obrazuje ujęcie 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br/>
            </w:r>
            <w:r w:rsidRPr="00644F20">
              <w:rPr>
                <w:rFonts w:ascii="Arial Narrow" w:hAnsi="Arial Narrow"/>
                <w:sz w:val="22"/>
                <w:szCs w:val="22"/>
              </w:rPr>
              <w:t>w celach lub przedsięwzięciach bądź innych kryteriach tych aspektów.</w:t>
            </w:r>
          </w:p>
          <w:p w:rsidR="00A06ACC" w:rsidRPr="00644F20" w:rsidRDefault="00E4020F" w:rsidP="00E4020F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Ze względu na szeroki zakres kryterium premiuje zadania, które wpłyną  na poprawę życia mieszkańc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t xml:space="preserve">ów w tym grup </w:t>
            </w:r>
            <w:proofErr w:type="spellStart"/>
            <w:r w:rsidR="00644F20" w:rsidRPr="00644F20">
              <w:rPr>
                <w:rFonts w:ascii="Arial Narrow" w:hAnsi="Arial Narrow"/>
                <w:sz w:val="22"/>
                <w:szCs w:val="22"/>
              </w:rPr>
              <w:t>defaworyzowanych</w:t>
            </w:r>
            <w:proofErr w:type="spellEnd"/>
            <w:r w:rsidRPr="00644F20">
              <w:rPr>
                <w:rFonts w:ascii="Arial Narrow" w:hAnsi="Arial Narrow"/>
                <w:sz w:val="22"/>
                <w:szCs w:val="22"/>
              </w:rPr>
              <w:t xml:space="preserve">, pozwalają chronić środowisko naturalne, które jest podstawą turystyki na </w:t>
            </w:r>
            <w:r w:rsidR="00513EE7" w:rsidRPr="00644F20">
              <w:rPr>
                <w:rFonts w:ascii="Arial Narrow" w:hAnsi="Arial Narrow"/>
                <w:sz w:val="22"/>
                <w:szCs w:val="22"/>
              </w:rPr>
              <w:t>obszarze i zadania, które są innowacyjne.</w:t>
            </w:r>
          </w:p>
          <w:p w:rsidR="00A06ACC" w:rsidRPr="00644F20" w:rsidRDefault="00A06ACC" w:rsidP="00A06AC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Weryfikacja nastąpi głównie na podstawie opisu spełnienia tego kryterium </w:t>
            </w:r>
            <w:r w:rsidR="000F1C53"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F1C53" w:rsidRPr="00644F20">
              <w:rPr>
                <w:rFonts w:ascii="Arial Narrow" w:hAnsi="Arial Narrow"/>
                <w:sz w:val="22"/>
                <w:szCs w:val="22"/>
              </w:rPr>
              <w:br/>
            </w:r>
            <w:r w:rsidRPr="00644F20">
              <w:rPr>
                <w:rFonts w:ascii="Arial Narrow" w:hAnsi="Arial Narrow"/>
                <w:sz w:val="22"/>
                <w:szCs w:val="22"/>
              </w:rPr>
              <w:t>w Wymaganym dokumencie potwierdzającym spełnienie kryteriów wyboru składanym przez Wnioskodawcę, które ma formę oświadczenia.</w:t>
            </w:r>
          </w:p>
          <w:p w:rsidR="00737D7D" w:rsidRPr="00644F20" w:rsidRDefault="00CC7DF1" w:rsidP="00A06AC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Innowacyjność – faworyzowane będą zadania,</w:t>
            </w:r>
            <w:r w:rsidR="00737D7D"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44F20">
              <w:rPr>
                <w:rFonts w:ascii="Arial Narrow" w:hAnsi="Arial Narrow"/>
                <w:sz w:val="22"/>
                <w:szCs w:val="22"/>
              </w:rPr>
              <w:t>których wskaźnik produktu będzie innowacyjny lub droga do jego osiągnięcia, czyli realizacja zadania przewiduje zastosowanie innowacyjnych rozwiązań, a innowacyjność tę należy odnieść do zastosowania danego rozwiązania na nowym obszarze lub w nowej dziedzinie. Zadanie uznawana jest za innowacyjne, gdy spełni ona co najmniej jeden z czterech warunków definicji innowacyjności zaprezentowanej w Tabeli 22. LSR BL.</w:t>
            </w:r>
          </w:p>
          <w:p w:rsidR="00CC7DF1" w:rsidRPr="00644F20" w:rsidRDefault="00CC7DF1" w:rsidP="007A1621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Sprzyjanie ochronie środowiska i przeciwdziałanie zmianom klimatu - do celów środowiskowo-klimatycznych przyczynią się:</w:t>
            </w:r>
          </w:p>
          <w:p w:rsidR="00CC7DF1" w:rsidRPr="00644F20" w:rsidRDefault="00CC7DF1" w:rsidP="007A1621">
            <w:pPr>
              <w:pStyle w:val="Akapitzlist"/>
              <w:numPr>
                <w:ilvl w:val="0"/>
                <w:numId w:val="16"/>
              </w:numPr>
              <w:ind w:left="175" w:hanging="120"/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ogólnodostępna i niekomercyjna infrastruktura rekreacyjna/turystyczna</w:t>
            </w:r>
          </w:p>
          <w:p w:rsidR="00CC7DF1" w:rsidRPr="00644F20" w:rsidRDefault="00CC7DF1" w:rsidP="007A1621">
            <w:pPr>
              <w:pStyle w:val="Akapitzlist"/>
              <w:numPr>
                <w:ilvl w:val="0"/>
                <w:numId w:val="16"/>
              </w:numPr>
              <w:ind w:left="175" w:hanging="120"/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zastosowanie ekologicznych materiałów</w:t>
            </w:r>
          </w:p>
          <w:p w:rsidR="00CC7DF1" w:rsidRPr="00644F20" w:rsidRDefault="00CC7DF1" w:rsidP="007A1621">
            <w:pPr>
              <w:pStyle w:val="Akapitzlist"/>
              <w:numPr>
                <w:ilvl w:val="0"/>
                <w:numId w:val="16"/>
              </w:numPr>
              <w:ind w:left="175" w:hanging="120"/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wykorzystanie usług nie oddziałujących negatywnie na środowisko</w:t>
            </w:r>
          </w:p>
          <w:p w:rsidR="00CC7DF1" w:rsidRPr="00644F20" w:rsidRDefault="00CC7DF1" w:rsidP="007A1621">
            <w:pPr>
              <w:pStyle w:val="Akapitzlist"/>
              <w:numPr>
                <w:ilvl w:val="0"/>
                <w:numId w:val="16"/>
              </w:numPr>
              <w:ind w:left="175" w:hanging="120"/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promowanie aktywnego trybu życia</w:t>
            </w:r>
          </w:p>
          <w:p w:rsidR="00CC7DF1" w:rsidRPr="00644F20" w:rsidRDefault="00CC7DF1" w:rsidP="007A1621">
            <w:pPr>
              <w:pStyle w:val="Akapitzlist"/>
              <w:numPr>
                <w:ilvl w:val="0"/>
                <w:numId w:val="16"/>
              </w:numPr>
              <w:ind w:left="175" w:hanging="120"/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promowanie walorów środowiska naturalnego</w:t>
            </w:r>
            <w:r w:rsidR="00B50DAF" w:rsidRPr="00644F20">
              <w:rPr>
                <w:rFonts w:ascii="Arial Narrow" w:hAnsi="Arial Narrow"/>
                <w:sz w:val="22"/>
                <w:szCs w:val="22"/>
              </w:rPr>
              <w:t xml:space="preserve"> (np. poprzez punkty widokowe, tablice informacyjne, pomosty)</w:t>
            </w:r>
            <w:r w:rsidR="007A1621" w:rsidRPr="00644F20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7A1621" w:rsidRPr="00644F20" w:rsidRDefault="007A1621" w:rsidP="007A1621">
            <w:pPr>
              <w:ind w:left="55"/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Ukierunkowanie na potrzeby grup </w:t>
            </w:r>
            <w:proofErr w:type="spellStart"/>
            <w:r w:rsidRPr="00644F20">
              <w:rPr>
                <w:rFonts w:ascii="Arial Narrow" w:hAnsi="Arial Narrow"/>
                <w:sz w:val="22"/>
                <w:szCs w:val="22"/>
              </w:rPr>
              <w:t>defaworyzowanych</w:t>
            </w:r>
            <w:proofErr w:type="spellEnd"/>
            <w:r w:rsidRPr="00644F20">
              <w:rPr>
                <w:rFonts w:ascii="Arial Narrow" w:hAnsi="Arial Narrow"/>
                <w:sz w:val="22"/>
                <w:szCs w:val="22"/>
              </w:rPr>
              <w:t xml:space="preserve"> można uzyskać poprzez realizację zadania, w które zaangażowane będą osoby z grupy </w:t>
            </w:r>
            <w:proofErr w:type="spellStart"/>
            <w:r w:rsidRPr="00644F20">
              <w:rPr>
                <w:rFonts w:ascii="Arial Narrow" w:hAnsi="Arial Narrow"/>
                <w:sz w:val="22"/>
                <w:szCs w:val="22"/>
              </w:rPr>
              <w:t>defaworyzowanej</w:t>
            </w:r>
            <w:proofErr w:type="spellEnd"/>
            <w:r w:rsidRPr="00644F20">
              <w:rPr>
                <w:rFonts w:ascii="Arial Narrow" w:hAnsi="Arial Narrow"/>
                <w:sz w:val="22"/>
                <w:szCs w:val="22"/>
              </w:rPr>
              <w:t xml:space="preserve"> ze względu na dostęp do rynku pracy. Mogą to być np. osoby, które będą dbały  </w:t>
            </w:r>
            <w:r w:rsidRPr="00644F20">
              <w:rPr>
                <w:rFonts w:ascii="Arial Narrow" w:hAnsi="Arial Narrow"/>
                <w:sz w:val="22"/>
                <w:szCs w:val="22"/>
              </w:rPr>
              <w:br/>
              <w:t xml:space="preserve">o utrzymanie porządku albo konserwację nowych obiektów infrastruktury rekreacyjnej/turystycznej. Realizacja zadania może być również dedykowana docelowo mieszkańcom obszaru LGD BL, przynależącym do grup </w:t>
            </w:r>
            <w:proofErr w:type="spellStart"/>
            <w:r w:rsidRPr="00644F20">
              <w:rPr>
                <w:rFonts w:ascii="Arial Narrow" w:hAnsi="Arial Narrow"/>
                <w:sz w:val="22"/>
                <w:szCs w:val="22"/>
              </w:rPr>
              <w:t>defaworyzowanych</w:t>
            </w:r>
            <w:proofErr w:type="spellEnd"/>
            <w:r w:rsidRPr="00644F20">
              <w:rPr>
                <w:rFonts w:ascii="Arial Narrow" w:hAnsi="Arial Narrow"/>
                <w:sz w:val="22"/>
                <w:szCs w:val="22"/>
              </w:rPr>
              <w:t xml:space="preserve"> ze względu na dostęp do rynku pracy, a poprzez realizację zadania może zostać poprawiona jakość życia mieszkańców obszaru (przedsięwzięcie 1.2.1) lub obszar może stać się bardziej atrakcyjnym turystycznie wskutek </w:t>
            </w:r>
            <w:r w:rsidR="007F345F" w:rsidRPr="00644F20">
              <w:rPr>
                <w:rFonts w:ascii="Arial Narrow" w:hAnsi="Arial Narrow"/>
                <w:sz w:val="22"/>
                <w:szCs w:val="22"/>
              </w:rPr>
              <w:t>rozwoju (wybudowania)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nowych obiektów infrastruktury turystycznej (przedsięwzięcie 3.2.1).</w:t>
            </w:r>
          </w:p>
          <w:p w:rsidR="006D2D4B" w:rsidRPr="00644F20" w:rsidRDefault="00A06ACC" w:rsidP="00644F2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Aby uzyskać punkty</w:t>
            </w:r>
            <w:r w:rsidR="00054840" w:rsidRPr="00644F20">
              <w:rPr>
                <w:rFonts w:ascii="Arial Narrow" w:hAnsi="Arial Narrow"/>
                <w:sz w:val="22"/>
                <w:szCs w:val="22"/>
              </w:rPr>
              <w:t>,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wymagane jest</w:t>
            </w:r>
            <w:r w:rsidR="000F1C53" w:rsidRPr="00644F20">
              <w:rPr>
                <w:rFonts w:ascii="Arial Narrow" w:hAnsi="Arial Narrow"/>
                <w:sz w:val="22"/>
                <w:szCs w:val="22"/>
              </w:rPr>
              <w:t>,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aby odnieść się</w:t>
            </w:r>
            <w:r w:rsidR="00054840" w:rsidRPr="00644F20">
              <w:rPr>
                <w:rFonts w:ascii="Arial Narrow" w:hAnsi="Arial Narrow"/>
                <w:sz w:val="22"/>
                <w:szCs w:val="22"/>
              </w:rPr>
              <w:t xml:space="preserve"> do</w:t>
            </w:r>
            <w:r w:rsidR="00513EE7" w:rsidRPr="00644F20">
              <w:rPr>
                <w:rFonts w:ascii="Arial Narrow" w:hAnsi="Arial Narrow"/>
                <w:sz w:val="22"/>
                <w:szCs w:val="22"/>
              </w:rPr>
              <w:t xml:space="preserve"> wyżej wymienionych elementów.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Punkty sumuje się</w:t>
            </w:r>
            <w:r w:rsidR="000F1C53" w:rsidRPr="00644F20">
              <w:rPr>
                <w:rFonts w:ascii="Arial Narrow" w:hAnsi="Arial Narrow"/>
                <w:sz w:val="22"/>
                <w:szCs w:val="22"/>
              </w:rPr>
              <w:t>,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t xml:space="preserve"> zatem można uzyskać od 0 do</w:t>
            </w:r>
            <w:r w:rsidR="000B64F2" w:rsidRPr="00644F20">
              <w:rPr>
                <w:rFonts w:ascii="Arial Narrow" w:hAnsi="Arial Narrow"/>
                <w:sz w:val="22"/>
                <w:szCs w:val="22"/>
              </w:rPr>
              <w:t xml:space="preserve"> 3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punktów.</w:t>
            </w:r>
          </w:p>
        </w:tc>
      </w:tr>
      <w:tr w:rsidR="00644F20" w:rsidRPr="00644F20" w:rsidTr="00513EE7">
        <w:trPr>
          <w:gridAfter w:val="1"/>
          <w:wAfter w:w="28" w:type="dxa"/>
          <w:cantSplit/>
          <w:trHeight w:val="840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296EF1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 xml:space="preserve">zadanie </w:t>
            </w:r>
            <w:r w:rsidR="006D2D4B" w:rsidRPr="00644F20">
              <w:rPr>
                <w:rFonts w:ascii="Arial Narrow" w:hAnsi="Arial Narrow"/>
                <w:sz w:val="20"/>
                <w:szCs w:val="20"/>
              </w:rPr>
              <w:t>przewiduje zastosowanie rozwiązań sprzyjających ochronie środowiska lub klimatu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2265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296EF1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zadanie będzie ukierunkowane</w:t>
            </w:r>
            <w:r w:rsidR="006D2D4B" w:rsidRPr="00644F20">
              <w:rPr>
                <w:rFonts w:ascii="Arial Narrow" w:hAnsi="Arial Narrow"/>
                <w:sz w:val="20"/>
                <w:szCs w:val="20"/>
              </w:rPr>
              <w:t xml:space="preserve"> na potrzeby grupy </w:t>
            </w:r>
            <w:proofErr w:type="spellStart"/>
            <w:r w:rsidR="006D2D4B" w:rsidRPr="00644F20">
              <w:rPr>
                <w:rFonts w:ascii="Arial Narrow" w:hAnsi="Arial Narrow"/>
                <w:sz w:val="20"/>
                <w:szCs w:val="20"/>
              </w:rPr>
              <w:t>defaworyzowanej</w:t>
            </w:r>
            <w:proofErr w:type="spellEnd"/>
            <w:r w:rsidR="006D2D4B" w:rsidRPr="00644F20">
              <w:rPr>
                <w:rFonts w:ascii="Arial Narrow" w:hAnsi="Arial Narrow"/>
                <w:sz w:val="20"/>
                <w:szCs w:val="20"/>
              </w:rPr>
              <w:t xml:space="preserve"> ze względu na dostęp do rynku pracy</w:t>
            </w:r>
            <w:r w:rsidR="006D2D4B" w:rsidRPr="00644F2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841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Wartość wnioskowanego Grantu wynosi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X ≤ 20 tys. zł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0-3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DF7798" w:rsidRPr="00644F20" w:rsidRDefault="00C04E25" w:rsidP="00D0738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Kryterium to pozwoli na premiowanie grantów, dla których określono wartość  wnioskowanej kwoty pomocy na poziomie niższym niż określono to w LSR. Weryfikacja polegać będzie na odniesieniu wnioskowanej kwoty pomocy wskazanej we wniosku o powierzenie grantu, a następnie przypisanie do właściwego przedziału  </w:t>
            </w:r>
            <w:r w:rsidRPr="00644F20">
              <w:rPr>
                <w:rFonts w:ascii="Arial Narrow" w:hAnsi="Arial Narrow"/>
                <w:sz w:val="22"/>
                <w:szCs w:val="22"/>
              </w:rPr>
              <w:br/>
              <w:t xml:space="preserve">i przyznanie punktów. Podejście to pozwoli na zaspokojenie w większym stopniu zdiagnozowanych potrzeb mieszkańców, gdyż pozwoli zrealizować w tym samym </w:t>
            </w:r>
            <w:r w:rsidR="00DF7798" w:rsidRPr="00644F20">
              <w:rPr>
                <w:rFonts w:ascii="Arial Narrow" w:hAnsi="Arial Narrow"/>
                <w:sz w:val="22"/>
                <w:szCs w:val="22"/>
              </w:rPr>
              <w:t xml:space="preserve">budżecie więcej </w:t>
            </w:r>
            <w:r w:rsidR="009C1063" w:rsidRPr="00644F20">
              <w:rPr>
                <w:rFonts w:ascii="Arial Narrow" w:hAnsi="Arial Narrow"/>
                <w:sz w:val="22"/>
                <w:szCs w:val="22"/>
              </w:rPr>
              <w:t>gran</w:t>
            </w:r>
            <w:r w:rsidR="00DF7798" w:rsidRPr="00644F20">
              <w:rPr>
                <w:rFonts w:ascii="Arial Narrow" w:hAnsi="Arial Narrow"/>
                <w:sz w:val="22"/>
                <w:szCs w:val="22"/>
              </w:rPr>
              <w:t>tów.</w:t>
            </w:r>
          </w:p>
          <w:p w:rsidR="00DF7798" w:rsidRPr="00644F20" w:rsidRDefault="00DF7798" w:rsidP="00D0738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Weryfikacja kryterium nastąpi głównie na podstawie </w:t>
            </w:r>
            <w:r w:rsidR="009C1063" w:rsidRPr="00644F20">
              <w:rPr>
                <w:rFonts w:ascii="Arial Narrow" w:hAnsi="Arial Narrow"/>
                <w:sz w:val="22"/>
                <w:szCs w:val="22"/>
              </w:rPr>
              <w:t>wniosku o powierzenie grantu</w:t>
            </w:r>
            <w:r w:rsidRPr="00644F20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C4223A" w:rsidRPr="00644F20" w:rsidRDefault="00DF7798" w:rsidP="000F1C53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Kryterium wpłynie pozytywnie na realizację większej liczby wskaźników w ramach wszystkich przedsięwzięć, zatem pozytywnie wpłynie na wszystkie cele ogólne.</w:t>
            </w:r>
          </w:p>
        </w:tc>
      </w:tr>
      <w:tr w:rsidR="00644F20" w:rsidRPr="00644F20" w:rsidTr="00513EE7">
        <w:trPr>
          <w:gridAfter w:val="1"/>
          <w:wAfter w:w="28" w:type="dxa"/>
          <w:cantSplit/>
          <w:trHeight w:val="830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20 tys. zł &lt; X ≤ 25 tys. zł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841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25 tys. zł &lt;X ≤  35 tys. zł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853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35 tys. zł &lt; 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1546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644F20" w:rsidRDefault="006D2D4B" w:rsidP="00644F2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Liczba mieszkańców w mi</w:t>
            </w:r>
            <w:r w:rsidR="000B64F2" w:rsidRPr="00644F20">
              <w:rPr>
                <w:rFonts w:ascii="Arial Narrow" w:hAnsi="Arial Narrow"/>
                <w:sz w:val="20"/>
                <w:szCs w:val="20"/>
              </w:rPr>
              <w:t>ejscowości, w której realizowane</w:t>
            </w:r>
            <w:r w:rsidRPr="00644F20">
              <w:rPr>
                <w:rFonts w:ascii="Arial Narrow" w:hAnsi="Arial Narrow"/>
                <w:sz w:val="20"/>
                <w:szCs w:val="20"/>
              </w:rPr>
              <w:t xml:space="preserve"> będzie </w:t>
            </w:r>
            <w:r w:rsidR="000B64F2" w:rsidRPr="00644F20">
              <w:rPr>
                <w:rFonts w:ascii="Arial Narrow" w:hAnsi="Arial Narrow"/>
                <w:sz w:val="20"/>
                <w:szCs w:val="20"/>
              </w:rPr>
              <w:t>zadanie</w:t>
            </w:r>
            <w:r w:rsidRPr="00644F20">
              <w:rPr>
                <w:rFonts w:ascii="Arial Narrow" w:hAnsi="Arial Narrow"/>
                <w:sz w:val="20"/>
                <w:szCs w:val="20"/>
              </w:rPr>
              <w:t xml:space="preserve"> wynosi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 xml:space="preserve">X &lt; 0,5 tys.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0-3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A06ACC" w:rsidRPr="00644F20" w:rsidRDefault="00A06ACC" w:rsidP="00A06AC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Kryterium to jest obowiązkowe jeśli w LSR planuje się wykorzystanie funduszy </w:t>
            </w:r>
            <w:r w:rsidR="00E87E46"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87E46" w:rsidRPr="00644F20">
              <w:rPr>
                <w:rFonts w:ascii="Arial Narrow" w:hAnsi="Arial Narrow"/>
                <w:sz w:val="22"/>
                <w:szCs w:val="22"/>
              </w:rPr>
              <w:br/>
            </w:r>
            <w:r w:rsidRPr="00644F20">
              <w:rPr>
                <w:rFonts w:ascii="Arial Narrow" w:hAnsi="Arial Narrow"/>
                <w:sz w:val="22"/>
                <w:szCs w:val="22"/>
              </w:rPr>
              <w:t>w ramach PROW 2014-2020 – dowodzi to zawarcia w kryteriach wymogó</w:t>
            </w:r>
            <w:r w:rsidR="00E87E46" w:rsidRPr="00644F20">
              <w:rPr>
                <w:rFonts w:ascii="Arial Narrow" w:hAnsi="Arial Narrow"/>
                <w:sz w:val="22"/>
                <w:szCs w:val="22"/>
              </w:rPr>
              <w:t>w programu. Program wymaga, aby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w kryteriach przewidzieć preferencje dla </w:t>
            </w:r>
            <w:r w:rsidR="000B64F2" w:rsidRPr="00644F20">
              <w:rPr>
                <w:rFonts w:ascii="Arial Narrow" w:hAnsi="Arial Narrow"/>
                <w:sz w:val="22"/>
                <w:szCs w:val="22"/>
              </w:rPr>
              <w:t xml:space="preserve">zadań </w:t>
            </w:r>
            <w:r w:rsidRPr="00644F20">
              <w:rPr>
                <w:rFonts w:ascii="Arial Narrow" w:hAnsi="Arial Narrow"/>
                <w:sz w:val="22"/>
                <w:szCs w:val="22"/>
              </w:rPr>
              <w:t>realizowanych w miejscowościach poniżej 5 tys. mieszkańców. Diagnoza obszaru wskazała, że im mniejsza miejscowość, tym trudniejszy jest dostęp do infrastruktury rekreacyjnej</w:t>
            </w:r>
            <w:r w:rsidR="00E87E46" w:rsidRPr="00644F20">
              <w:rPr>
                <w:rFonts w:ascii="Arial Narrow" w:hAnsi="Arial Narrow"/>
                <w:sz w:val="22"/>
                <w:szCs w:val="22"/>
              </w:rPr>
              <w:t xml:space="preserve"> i tym mniej występuje obiektów infrastruktury turystycznej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t xml:space="preserve">, dlatego </w:t>
            </w:r>
            <w:r w:rsidRPr="00644F20">
              <w:rPr>
                <w:rFonts w:ascii="Arial Narrow" w:hAnsi="Arial Narrow"/>
                <w:sz w:val="22"/>
                <w:szCs w:val="22"/>
              </w:rPr>
              <w:t>w kryterium tym</w:t>
            </w:r>
            <w:r w:rsidR="00E87E46" w:rsidRPr="00644F20">
              <w:rPr>
                <w:rFonts w:ascii="Arial Narrow" w:hAnsi="Arial Narrow"/>
                <w:sz w:val="22"/>
                <w:szCs w:val="22"/>
              </w:rPr>
              <w:t>,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oprócz premiowania </w:t>
            </w:r>
            <w:r w:rsidR="000B64F2" w:rsidRPr="00644F20">
              <w:rPr>
                <w:rFonts w:ascii="Arial Narrow" w:hAnsi="Arial Narrow"/>
                <w:sz w:val="22"/>
                <w:szCs w:val="22"/>
              </w:rPr>
              <w:t>zadania</w:t>
            </w:r>
            <w:r w:rsidR="00E87E46" w:rsidRPr="00644F20">
              <w:rPr>
                <w:rFonts w:ascii="Arial Narrow" w:hAnsi="Arial Narrow"/>
                <w:sz w:val="22"/>
                <w:szCs w:val="22"/>
              </w:rPr>
              <w:t>,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zróżnicowano punktacje w taki sposób, że im mniejsza jest m</w:t>
            </w:r>
            <w:r w:rsidR="000B64F2" w:rsidRPr="00644F20">
              <w:rPr>
                <w:rFonts w:ascii="Arial Narrow" w:hAnsi="Arial Narrow"/>
                <w:sz w:val="22"/>
                <w:szCs w:val="22"/>
              </w:rPr>
              <w:t>iejscowość, w której realizowane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będzie </w:t>
            </w:r>
            <w:r w:rsidR="000B64F2" w:rsidRPr="00644F20">
              <w:rPr>
                <w:rFonts w:ascii="Arial Narrow" w:hAnsi="Arial Narrow"/>
                <w:sz w:val="22"/>
                <w:szCs w:val="22"/>
              </w:rPr>
              <w:t>zadanie</w:t>
            </w:r>
            <w:r w:rsidRPr="00644F20">
              <w:rPr>
                <w:rFonts w:ascii="Arial Narrow" w:hAnsi="Arial Narrow"/>
                <w:sz w:val="22"/>
                <w:szCs w:val="22"/>
              </w:rPr>
              <w:t>, tym więcej punktów wniosek otrzymuje.</w:t>
            </w:r>
          </w:p>
          <w:p w:rsidR="00A06ACC" w:rsidRPr="00644F20" w:rsidRDefault="00A06ACC" w:rsidP="00A06AC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Weryfikacja kryterium nastąpi głównie na podstawie Zaświadczenie wójta / burmistrza wskazującego liczbę mieszkańców w miejscowości, w której planowana będzie realizacja </w:t>
            </w:r>
            <w:r w:rsidR="008D271F" w:rsidRPr="00644F20">
              <w:rPr>
                <w:rFonts w:ascii="Arial Narrow" w:hAnsi="Arial Narrow"/>
                <w:sz w:val="22"/>
                <w:szCs w:val="22"/>
              </w:rPr>
              <w:t>zadania</w:t>
            </w:r>
            <w:r w:rsidRPr="00644F20">
              <w:rPr>
                <w:rFonts w:ascii="Arial Narrow" w:hAnsi="Arial Narrow"/>
                <w:sz w:val="22"/>
                <w:szCs w:val="22"/>
              </w:rPr>
              <w:t>. Liczba mieszkańców miejscowości zostanie przyporządkowana do właściwego przedziału wsk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t xml:space="preserve">azującego wielkość miejscowości 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i na tej podstawie zostaną przyznane punkty. </w:t>
            </w:r>
          </w:p>
          <w:p w:rsidR="00A06ACC" w:rsidRPr="00644F20" w:rsidRDefault="00A06ACC" w:rsidP="00A06AC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Przez miejscowość rozumie się </w:t>
            </w:r>
            <w:hyperlink r:id="rId7" w:tooltip="Jednostka osadnicza" w:history="1">
              <w:r w:rsidRPr="00644F20"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>jednostkę osadniczą</w:t>
              </w:r>
            </w:hyperlink>
            <w:r w:rsidRPr="00644F20">
              <w:rPr>
                <w:rFonts w:ascii="Arial Narrow" w:hAnsi="Arial Narrow"/>
                <w:sz w:val="22"/>
                <w:szCs w:val="22"/>
              </w:rPr>
              <w:t xml:space="preserve"> lub inny </w:t>
            </w:r>
            <w:hyperlink r:id="rId8" w:tooltip="Obszar zabudowany" w:history="1">
              <w:r w:rsidRPr="00644F20">
                <w:rPr>
                  <w:rStyle w:val="Hipercze"/>
                  <w:rFonts w:ascii="Arial Narrow" w:hAnsi="Arial Narrow"/>
                  <w:color w:val="auto"/>
                  <w:sz w:val="22"/>
                  <w:szCs w:val="22"/>
                  <w:u w:val="none"/>
                </w:rPr>
                <w:t>obszar zabudowany</w:t>
              </w:r>
            </w:hyperlink>
            <w:r w:rsidRPr="00644F20">
              <w:rPr>
                <w:rFonts w:ascii="Arial Narrow" w:hAnsi="Arial Narrow"/>
                <w:sz w:val="22"/>
                <w:szCs w:val="22"/>
              </w:rPr>
              <w:t xml:space="preserve"> odróżniający się od innych miejscowości odrębną nazwą, a przy jednakowej nazwie, odmiennym określeniem ich rodzaju.</w:t>
            </w:r>
          </w:p>
          <w:p w:rsidR="00C4223A" w:rsidRPr="00644F20" w:rsidRDefault="00A06ACC" w:rsidP="00644F20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Kryterium premiuje </w:t>
            </w:r>
            <w:r w:rsidR="008D271F" w:rsidRPr="00644F20">
              <w:rPr>
                <w:rFonts w:ascii="Arial Narrow" w:hAnsi="Arial Narrow"/>
                <w:sz w:val="22"/>
                <w:szCs w:val="22"/>
              </w:rPr>
              <w:t>zadania</w:t>
            </w:r>
            <w:r w:rsidRPr="00644F20">
              <w:rPr>
                <w:rFonts w:ascii="Arial Narrow" w:hAnsi="Arial Narrow"/>
                <w:sz w:val="22"/>
                <w:szCs w:val="22"/>
              </w:rPr>
              <w:t>, które przyczynią się do osiągnięcia celu ogólnego 1.0 poprawiając warunki życia mieszkańców poprzez ułatwienie dostępu do infrastruktury</w:t>
            </w:r>
            <w:r w:rsidR="00E87E46" w:rsidRPr="00644F20">
              <w:rPr>
                <w:rFonts w:ascii="Arial Narrow" w:hAnsi="Arial Narrow"/>
                <w:sz w:val="22"/>
                <w:szCs w:val="22"/>
              </w:rPr>
              <w:t xml:space="preserve"> lub do osiągnięcia celu ogólnego 3.0 poprzez turystyczne uatrakcyjnienie obszaru Stowarzyszenia</w:t>
            </w:r>
            <w:r w:rsidRPr="00644F20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644F20" w:rsidRPr="00644F20" w:rsidTr="00513EE7">
        <w:trPr>
          <w:gridAfter w:val="1"/>
          <w:wAfter w:w="28" w:type="dxa"/>
          <w:cantSplit/>
          <w:trHeight w:val="1554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 xml:space="preserve">0,5 tys. ≤ X &lt; 3 tys.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1418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3 tys. ≤ X &lt; 5 tys.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1383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5 tys. ≤ 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1266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644F20" w:rsidRDefault="00E87E46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Wkład własny W</w:t>
            </w:r>
            <w:r w:rsidR="006D2D4B" w:rsidRPr="00644F20">
              <w:rPr>
                <w:rFonts w:ascii="Arial Narrow" w:hAnsi="Arial Narrow"/>
                <w:sz w:val="20"/>
                <w:szCs w:val="20"/>
              </w:rPr>
              <w:t>nioskodawcy przekracza określoną w LSR intensywność pomocy o</w:t>
            </w: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X &gt; 5 000 zł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3 pkt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0-3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A06ACC" w:rsidRPr="00644F20" w:rsidRDefault="00A06ACC" w:rsidP="00A06AC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Kryterium to pozwoli na premiowanie </w:t>
            </w:r>
            <w:r w:rsidR="008D271F" w:rsidRPr="00644F20">
              <w:rPr>
                <w:rFonts w:ascii="Arial Narrow" w:hAnsi="Arial Narrow"/>
                <w:sz w:val="22"/>
                <w:szCs w:val="22"/>
              </w:rPr>
              <w:t>zadań</w:t>
            </w:r>
            <w:r w:rsidR="00E87E46" w:rsidRPr="00644F20">
              <w:rPr>
                <w:rFonts w:ascii="Arial Narrow" w:hAnsi="Arial Narrow"/>
                <w:sz w:val="22"/>
                <w:szCs w:val="22"/>
              </w:rPr>
              <w:t>, w ramach których wkład własny W</w:t>
            </w:r>
            <w:r w:rsidRPr="00644F20">
              <w:rPr>
                <w:rFonts w:ascii="Arial Narrow" w:hAnsi="Arial Narrow"/>
                <w:sz w:val="22"/>
                <w:szCs w:val="22"/>
              </w:rPr>
              <w:t>nioskodawcy przekracza intensywność określoną w PROW 2014-2020 (według ram określonych w LSR). Należy odnieść się do intensywności pomocy dla poszczególnych przedsięwzięć i obliczyć wartość wkładu własnego przewyższającego intensywność określoną w LSR. Podejście to pozwoli na zaspokojenie w większym stopniu zdiagnozowanych potrzeb mieszkańców, gdyż pozwoli zrealizować w tym samym budżecie więcej projektów.</w:t>
            </w:r>
            <w:r w:rsidR="007A1621" w:rsidRPr="00644F20">
              <w:rPr>
                <w:rFonts w:ascii="Arial Narrow" w:hAnsi="Arial Narrow"/>
                <w:sz w:val="22"/>
                <w:szCs w:val="22"/>
              </w:rPr>
              <w:t xml:space="preserve"> Należy jednak pamiętać, że wartość całkowita realizowanego </w:t>
            </w:r>
            <w:r w:rsidR="0053773A" w:rsidRPr="00644F20">
              <w:rPr>
                <w:rFonts w:ascii="Arial Narrow" w:hAnsi="Arial Narrow"/>
                <w:sz w:val="22"/>
                <w:szCs w:val="22"/>
              </w:rPr>
              <w:t>Zadania</w:t>
            </w:r>
            <w:r w:rsidR="007A1621" w:rsidRPr="00644F20">
              <w:rPr>
                <w:rFonts w:ascii="Arial Narrow" w:hAnsi="Arial Narrow"/>
                <w:sz w:val="22"/>
                <w:szCs w:val="22"/>
              </w:rPr>
              <w:t xml:space="preserve"> nie może być wyższa niż 50 000 zł.</w:t>
            </w:r>
          </w:p>
          <w:p w:rsidR="00A06ACC" w:rsidRPr="00644F20" w:rsidRDefault="00A06ACC" w:rsidP="00A06AC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Weryfikacja kryterium nastąpi głównie na podstawie Oświadczenia ze wskazaniem wyliczenia powiązanego z budżetem wniosku</w:t>
            </w:r>
            <w:r w:rsidR="00E87E46" w:rsidRPr="00644F20">
              <w:rPr>
                <w:rFonts w:ascii="Arial Narrow" w:hAnsi="Arial Narrow"/>
                <w:sz w:val="22"/>
                <w:szCs w:val="22"/>
              </w:rPr>
              <w:t>, załączonego przez W</w:t>
            </w:r>
            <w:r w:rsidRPr="00644F20">
              <w:rPr>
                <w:rFonts w:ascii="Arial Narrow" w:hAnsi="Arial Narrow"/>
                <w:sz w:val="22"/>
                <w:szCs w:val="22"/>
              </w:rPr>
              <w:t>nioskodawcę</w:t>
            </w:r>
            <w:r w:rsidR="00E87E46" w:rsidRPr="00644F20">
              <w:rPr>
                <w:rFonts w:ascii="Arial Narrow" w:hAnsi="Arial Narrow"/>
                <w:sz w:val="22"/>
                <w:szCs w:val="22"/>
              </w:rPr>
              <w:t xml:space="preserve">,  </w:t>
            </w:r>
            <w:r w:rsidR="00E87E46" w:rsidRPr="00644F20">
              <w:rPr>
                <w:rFonts w:ascii="Arial Narrow" w:hAnsi="Arial Narrow"/>
                <w:sz w:val="22"/>
                <w:szCs w:val="22"/>
              </w:rPr>
              <w:br/>
              <w:t xml:space="preserve">a stanowiącego załącznik nr 1 do </w:t>
            </w:r>
            <w:r w:rsidR="003158B0" w:rsidRPr="00644F20">
              <w:rPr>
                <w:rFonts w:ascii="Arial Narrow" w:hAnsi="Arial Narrow"/>
                <w:sz w:val="22"/>
                <w:szCs w:val="22"/>
              </w:rPr>
              <w:t>Wymaganego dokumentu potwierdzającego spełnienie kryteriów wyboru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. Oświadczenie określi wyliczenie zgodne </w:t>
            </w:r>
            <w:r w:rsidR="00E87E46"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87E46" w:rsidRPr="00644F20">
              <w:rPr>
                <w:rFonts w:ascii="Arial Narrow" w:hAnsi="Arial Narrow"/>
                <w:sz w:val="22"/>
                <w:szCs w:val="22"/>
              </w:rPr>
              <w:br/>
            </w:r>
            <w:r w:rsidRPr="00644F20">
              <w:rPr>
                <w:rFonts w:ascii="Arial Narrow" w:hAnsi="Arial Narrow"/>
                <w:sz w:val="22"/>
                <w:szCs w:val="22"/>
              </w:rPr>
              <w:t>z warunkami</w:t>
            </w:r>
            <w:r w:rsidR="00E87E46" w:rsidRPr="00644F20">
              <w:rPr>
                <w:rFonts w:ascii="Arial Narrow" w:hAnsi="Arial Narrow"/>
                <w:sz w:val="22"/>
                <w:szCs w:val="22"/>
              </w:rPr>
              <w:t xml:space="preserve"> w LSR – najkorzystniejsze dla Wnioskodawcy oraz w o</w:t>
            </w:r>
            <w:r w:rsidRPr="00644F20">
              <w:rPr>
                <w:rFonts w:ascii="Arial Narrow" w:hAnsi="Arial Narrow"/>
                <w:sz w:val="22"/>
                <w:szCs w:val="22"/>
              </w:rPr>
              <w:t>parciu o budżet wnioskowaną kwotę pomocy. Różnica tych kwot określi wkład własny przekraczający intensywność pomocy i zostanie przyporządkowana do właściwego przedziału, a na tej podstawie wnioskowi zostanie przyznana właściwa liczba punktów.</w:t>
            </w:r>
          </w:p>
          <w:p w:rsidR="006D2D4B" w:rsidRPr="00644F20" w:rsidRDefault="00A06ACC" w:rsidP="00A06A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Kryterium wpłynie pozytywnie na realizację większej liczby wskaźników w ramach wszystkich przedsięwzięć, zatem pozytywnie wpłynie na wszystkie cele ogólne.</w:t>
            </w:r>
          </w:p>
        </w:tc>
      </w:tr>
      <w:tr w:rsidR="00644F20" w:rsidRPr="00644F20" w:rsidTr="00513EE7">
        <w:trPr>
          <w:gridAfter w:val="1"/>
          <w:wAfter w:w="28" w:type="dxa"/>
          <w:cantSplit/>
          <w:trHeight w:val="1398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53773A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 xml:space="preserve">3 000 zł &lt; X ≤ </w:t>
            </w:r>
            <w:r w:rsidR="006D2D4B" w:rsidRPr="00644F20">
              <w:rPr>
                <w:rFonts w:ascii="Arial Narrow" w:hAnsi="Arial Narrow"/>
                <w:sz w:val="20"/>
                <w:szCs w:val="20"/>
              </w:rPr>
              <w:t xml:space="preserve"> 5 000 zł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2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993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7A1621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1 000 zł &lt; X ≤ 3</w:t>
            </w:r>
            <w:r w:rsidR="006D2D4B" w:rsidRPr="00644F20">
              <w:rPr>
                <w:rFonts w:ascii="Arial Narrow" w:hAnsi="Arial Narrow"/>
                <w:sz w:val="20"/>
                <w:szCs w:val="20"/>
              </w:rPr>
              <w:t> 000 zł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1126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1 000 zł ≥ X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0 pkt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rPr>
          <w:gridAfter w:val="1"/>
          <w:wAfter w:w="28" w:type="dxa"/>
          <w:cantSplit/>
          <w:trHeight w:val="1824"/>
          <w:jc w:val="center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Wnioskodawca skorzystał z doradztwa świadczonego w LGD</w:t>
            </w:r>
          </w:p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tak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0-1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A06ACC" w:rsidRPr="00644F20" w:rsidRDefault="00A06ACC" w:rsidP="00A06AC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Kryterium to pozwoli na sprawniejszą realizację wskaźników, a zatem również przedsięwzięć i celów, gdyż osoby, które skorzystają z doradztwa, będą miały większą wiedzę, a ich wnioski będą lepszej jakości, więc będą szybciej i w większym odsetku realizowane. Doradztwo jest wymagane w ramach realizacji LSR, zatem kryterium to realizuje wymóg podejścia RLKS i PROW 2014-2020.</w:t>
            </w:r>
          </w:p>
          <w:p w:rsidR="00A06ACC" w:rsidRPr="00644F20" w:rsidRDefault="00A06ACC" w:rsidP="00A06ACC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Weryfikacja kryterium nastąpi na podstawie Zaświadczenia o doradztwie udzielonym w biurze STOWARZYSZENIA LGD BRAMA LUBUSKA. W zaświadczeniu określony zostanie termin i zakres doradztwa, jednak nie będzi</w:t>
            </w:r>
            <w:r w:rsidR="00C82F0E" w:rsidRPr="00644F20">
              <w:rPr>
                <w:rFonts w:ascii="Arial Narrow" w:hAnsi="Arial Narrow"/>
                <w:sz w:val="22"/>
                <w:szCs w:val="22"/>
              </w:rPr>
              <w:t>e to przedmiotem oceny. Jeżeli Wnioskodawca załączy zaś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t>wiadczenie otrzyma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A1621" w:rsidRPr="00644F20">
              <w:rPr>
                <w:rFonts w:ascii="Arial Narrow" w:hAnsi="Arial Narrow"/>
                <w:sz w:val="22"/>
                <w:szCs w:val="22"/>
              </w:rPr>
              <w:t xml:space="preserve">1 </w:t>
            </w:r>
            <w:r w:rsidRPr="00644F20">
              <w:rPr>
                <w:rFonts w:ascii="Arial Narrow" w:hAnsi="Arial Narrow"/>
                <w:sz w:val="22"/>
                <w:szCs w:val="22"/>
              </w:rPr>
              <w:t>punkt</w:t>
            </w:r>
            <w:r w:rsidR="00C82F0E" w:rsidRPr="00644F20">
              <w:rPr>
                <w:rFonts w:ascii="Arial Narrow" w:hAnsi="Arial Narrow"/>
                <w:sz w:val="22"/>
                <w:szCs w:val="22"/>
              </w:rPr>
              <w:t>,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jeśli nie, nie otrzyma punktów.</w:t>
            </w:r>
          </w:p>
          <w:p w:rsidR="006D2D4B" w:rsidRPr="00644F20" w:rsidRDefault="00A06ACC" w:rsidP="00A06AC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Podczas diagnozy wykazano między innymi trudności grup </w:t>
            </w:r>
            <w:proofErr w:type="spellStart"/>
            <w:r w:rsidRPr="00644F20">
              <w:rPr>
                <w:rFonts w:ascii="Arial Narrow" w:hAnsi="Arial Narrow"/>
                <w:sz w:val="22"/>
                <w:szCs w:val="22"/>
              </w:rPr>
              <w:t>defaworyzowanych</w:t>
            </w:r>
            <w:proofErr w:type="spellEnd"/>
            <w:r w:rsidRPr="00644F20">
              <w:rPr>
                <w:rFonts w:ascii="Arial Narrow" w:hAnsi="Arial Narrow"/>
                <w:sz w:val="22"/>
                <w:szCs w:val="22"/>
              </w:rPr>
              <w:t>, NGO z wypełnianiem dokumentacji – ujęcie tego kryterium pozwoli niwelować te problemy.</w:t>
            </w:r>
          </w:p>
        </w:tc>
      </w:tr>
      <w:tr w:rsidR="00644F20" w:rsidRPr="00644F20" w:rsidTr="00513EE7">
        <w:trPr>
          <w:gridAfter w:val="1"/>
          <w:wAfter w:w="28" w:type="dxa"/>
          <w:cantSplit/>
          <w:trHeight w:val="1974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374" w:type="dxa"/>
            <w:shd w:val="clear" w:color="auto" w:fill="auto"/>
            <w:vAlign w:val="center"/>
          </w:tcPr>
          <w:p w:rsidR="006D2D4B" w:rsidRPr="00644F20" w:rsidRDefault="006D2D4B" w:rsidP="008854DE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6D2D4B" w:rsidRPr="00644F20" w:rsidRDefault="006D2D4B" w:rsidP="008854DE">
            <w:pPr>
              <w:pStyle w:val="Akapitzlist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</w:tcPr>
          <w:p w:rsidR="006D2D4B" w:rsidRPr="00644F20" w:rsidRDefault="006D2D4B" w:rsidP="008854D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4F20" w:rsidRPr="00644F20" w:rsidTr="00513EE7">
        <w:tblPrEx>
          <w:jc w:val="left"/>
        </w:tblPrEx>
        <w:trPr>
          <w:cantSplit/>
          <w:trHeight w:val="2117"/>
        </w:trPr>
        <w:tc>
          <w:tcPr>
            <w:tcW w:w="312" w:type="dxa"/>
            <w:vMerge w:val="restart"/>
            <w:shd w:val="clear" w:color="auto" w:fill="auto"/>
            <w:vAlign w:val="center"/>
          </w:tcPr>
          <w:p w:rsidR="00C82F0E" w:rsidRPr="00644F20" w:rsidRDefault="001341D1" w:rsidP="002F6BFE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0"/>
                <w:szCs w:val="22"/>
              </w:rPr>
              <w:lastRenderedPageBreak/>
              <w:t>10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82F0E" w:rsidRPr="00644F20" w:rsidRDefault="00406FFD" w:rsidP="00644F20">
            <w:pPr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Planowany termin</w:t>
            </w:r>
            <w:r w:rsidR="00C82F0E" w:rsidRPr="00644F20">
              <w:rPr>
                <w:rFonts w:ascii="Arial Narrow" w:hAnsi="Arial Narrow"/>
                <w:sz w:val="20"/>
                <w:szCs w:val="20"/>
              </w:rPr>
              <w:t xml:space="preserve"> realizacji </w:t>
            </w:r>
            <w:r w:rsidR="008D271F" w:rsidRPr="00644F20">
              <w:rPr>
                <w:rFonts w:ascii="Arial Narrow" w:hAnsi="Arial Narrow"/>
                <w:sz w:val="20"/>
                <w:szCs w:val="20"/>
              </w:rPr>
              <w:t>zadania</w:t>
            </w:r>
            <w:r w:rsidR="00C82F0E" w:rsidRPr="00644F20">
              <w:rPr>
                <w:rFonts w:ascii="Arial Narrow" w:hAnsi="Arial Narrow"/>
                <w:sz w:val="20"/>
                <w:szCs w:val="20"/>
              </w:rPr>
              <w:t xml:space="preserve"> przez Wnioskodawcę, liczony od dnia podpisania umowy o </w:t>
            </w:r>
            <w:r w:rsidR="009813F6" w:rsidRPr="00644F20">
              <w:rPr>
                <w:rFonts w:ascii="Arial Narrow" w:hAnsi="Arial Narrow"/>
                <w:sz w:val="20"/>
                <w:szCs w:val="20"/>
              </w:rPr>
              <w:t>powierzenie grantu</w:t>
            </w:r>
            <w:r w:rsidR="00C82F0E" w:rsidRPr="00644F20">
              <w:rPr>
                <w:rFonts w:ascii="Arial Narrow" w:hAnsi="Arial Narrow"/>
                <w:sz w:val="20"/>
                <w:szCs w:val="20"/>
              </w:rPr>
              <w:t>, zamknie się w terminie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82F0E" w:rsidRPr="00644F20" w:rsidRDefault="00C82F0E" w:rsidP="00C82F0E">
            <w:pPr>
              <w:rPr>
                <w:rFonts w:ascii="Arial Narrow" w:hAnsi="Arial Narrow"/>
                <w:sz w:val="20"/>
              </w:rPr>
            </w:pPr>
            <w:r w:rsidRPr="00644F20">
              <w:rPr>
                <w:rFonts w:ascii="Arial Narrow" w:hAnsi="Arial Narrow"/>
                <w:sz w:val="20"/>
              </w:rPr>
              <w:t xml:space="preserve">do 3 miesięcy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82F0E" w:rsidRPr="00644F20" w:rsidRDefault="00296EF1" w:rsidP="001341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</w:tcPr>
          <w:p w:rsidR="00C82F0E" w:rsidRPr="00644F20" w:rsidRDefault="00296EF1" w:rsidP="00C82F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 w:rsidRPr="00644F20">
              <w:rPr>
                <w:rFonts w:ascii="Arial Narrow" w:hAnsi="Arial Narrow"/>
                <w:sz w:val="20"/>
                <w:szCs w:val="20"/>
              </w:rPr>
              <w:t>0-6</w:t>
            </w:r>
            <w:r w:rsidR="00C82F0E" w:rsidRPr="00644F20">
              <w:rPr>
                <w:rFonts w:ascii="Arial Narrow" w:hAnsi="Arial Narrow"/>
                <w:sz w:val="20"/>
                <w:szCs w:val="20"/>
              </w:rPr>
              <w:t xml:space="preserve"> pkt</w:t>
            </w:r>
          </w:p>
        </w:tc>
        <w:tc>
          <w:tcPr>
            <w:tcW w:w="6946" w:type="dxa"/>
            <w:gridSpan w:val="2"/>
            <w:vMerge w:val="restart"/>
            <w:shd w:val="clear" w:color="auto" w:fill="auto"/>
            <w:vAlign w:val="center"/>
          </w:tcPr>
          <w:p w:rsidR="00C82F0E" w:rsidRPr="00644F20" w:rsidRDefault="00C82F0E" w:rsidP="00C82F0E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Kryterium dotyczy wszystkich </w:t>
            </w:r>
            <w:r w:rsidR="00C04E25" w:rsidRPr="00644F20">
              <w:rPr>
                <w:rFonts w:ascii="Arial Narrow" w:hAnsi="Arial Narrow"/>
                <w:sz w:val="22"/>
                <w:szCs w:val="22"/>
              </w:rPr>
              <w:t>przedsięwzięć</w:t>
            </w:r>
            <w:r w:rsidRPr="00644F20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C82F0E" w:rsidRPr="00644F20" w:rsidRDefault="00C82F0E" w:rsidP="00C82F0E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Kryterium to pozwoli na sprawniejszą realizację wskaźników, a zatem również przedsięwzięć i celów, a także na szybsze wdrożenie LSR, co spowoduje szybsze rozwinięcie obszaru STOWARZYSZENIA LGD BRAMA LUBUSKA, poprzez ułatwienie dostępu do infrastruktury rekreacyjnej i turystycznej.</w:t>
            </w:r>
          </w:p>
          <w:p w:rsidR="00C82F0E" w:rsidRPr="00644F20" w:rsidRDefault="00C82F0E" w:rsidP="002F6BFE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>Weryfikacja nastąpi w oparciu o Oświadczenie o planowanym czasie realiz</w:t>
            </w:r>
            <w:r w:rsidR="001341D1" w:rsidRPr="00644F20">
              <w:rPr>
                <w:rFonts w:ascii="Arial Narrow" w:hAnsi="Arial Narrow"/>
                <w:sz w:val="22"/>
                <w:szCs w:val="22"/>
              </w:rPr>
              <w:t xml:space="preserve">acji </w:t>
            </w:r>
            <w:r w:rsidR="008D271F" w:rsidRPr="00644F20">
              <w:rPr>
                <w:rFonts w:ascii="Arial Narrow" w:hAnsi="Arial Narrow"/>
                <w:sz w:val="22"/>
                <w:szCs w:val="22"/>
              </w:rPr>
              <w:t>zadania</w:t>
            </w:r>
            <w:r w:rsidR="001341D1" w:rsidRPr="00644F20">
              <w:rPr>
                <w:rFonts w:ascii="Arial Narrow" w:hAnsi="Arial Narrow"/>
                <w:sz w:val="22"/>
                <w:szCs w:val="22"/>
              </w:rPr>
              <w:t>, załączone przez Wnioskodawcę</w:t>
            </w:r>
            <w:r w:rsidR="003158B0" w:rsidRPr="00644F20">
              <w:rPr>
                <w:rFonts w:ascii="Arial Narrow" w:hAnsi="Arial Narrow"/>
                <w:sz w:val="22"/>
                <w:szCs w:val="22"/>
              </w:rPr>
              <w:t xml:space="preserve"> na formularzu stanowiącym załącznik nr 2 do Wymaganego dokumentu potwierdzającego spełnienie kryteriów wyboru</w:t>
            </w:r>
            <w:r w:rsidR="001341D1" w:rsidRPr="00644F20">
              <w:rPr>
                <w:rFonts w:ascii="Arial Narrow" w:hAnsi="Arial Narrow"/>
                <w:sz w:val="22"/>
                <w:szCs w:val="22"/>
              </w:rPr>
              <w:t xml:space="preserve">, w którym należy rozpisać terminy podpisania umowy, realizacji </w:t>
            </w:r>
            <w:r w:rsidR="008D271F" w:rsidRPr="00644F20">
              <w:rPr>
                <w:rFonts w:ascii="Arial Narrow" w:hAnsi="Arial Narrow"/>
                <w:sz w:val="22"/>
                <w:szCs w:val="22"/>
              </w:rPr>
              <w:t>zadania</w:t>
            </w:r>
            <w:r w:rsidR="001341D1" w:rsidRPr="00644F20">
              <w:rPr>
                <w:rFonts w:ascii="Arial Narrow" w:hAnsi="Arial Narrow"/>
                <w:sz w:val="22"/>
                <w:szCs w:val="22"/>
              </w:rPr>
              <w:t xml:space="preserve"> oraz złożenia wniosku 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br/>
            </w:r>
            <w:r w:rsidR="001341D1" w:rsidRPr="00644F20">
              <w:rPr>
                <w:rFonts w:ascii="Arial Narrow" w:hAnsi="Arial Narrow"/>
                <w:sz w:val="22"/>
                <w:szCs w:val="22"/>
              </w:rPr>
              <w:t>o płatność końcową.</w:t>
            </w:r>
          </w:p>
          <w:p w:rsidR="00C82F0E" w:rsidRPr="00644F20" w:rsidRDefault="00C82F0E" w:rsidP="00644F20">
            <w:pPr>
              <w:jc w:val="both"/>
              <w:rPr>
                <w:rFonts w:ascii="Arial Narrow" w:hAnsi="Arial Narrow"/>
              </w:rPr>
            </w:pPr>
            <w:r w:rsidRPr="00644F20">
              <w:rPr>
                <w:rFonts w:ascii="Arial Narrow" w:hAnsi="Arial Narrow"/>
                <w:sz w:val="22"/>
                <w:szCs w:val="22"/>
              </w:rPr>
              <w:t xml:space="preserve">Im szybciej </w:t>
            </w:r>
            <w:r w:rsidR="008D271F" w:rsidRPr="00644F20">
              <w:rPr>
                <w:rFonts w:ascii="Arial Narrow" w:hAnsi="Arial Narrow"/>
                <w:sz w:val="22"/>
                <w:szCs w:val="22"/>
              </w:rPr>
              <w:t>zadanie zostanie zrealizowane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, tym więcej punktów uzyska Wnioskodawca. Termin realizacji </w:t>
            </w:r>
            <w:r w:rsidR="008D271F" w:rsidRPr="00644F20">
              <w:rPr>
                <w:rFonts w:ascii="Arial Narrow" w:hAnsi="Arial Narrow"/>
                <w:sz w:val="22"/>
                <w:szCs w:val="22"/>
              </w:rPr>
              <w:t>zadania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jest l</w:t>
            </w:r>
            <w:r w:rsidR="008D271F" w:rsidRPr="00644F20">
              <w:rPr>
                <w:rFonts w:ascii="Arial Narrow" w:hAnsi="Arial Narrow"/>
                <w:sz w:val="22"/>
                <w:szCs w:val="22"/>
              </w:rPr>
              <w:t xml:space="preserve">iczony od dnia podpisania umowy 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o </w:t>
            </w:r>
            <w:r w:rsidR="009813F6" w:rsidRPr="00644F20">
              <w:rPr>
                <w:rFonts w:ascii="Arial Narrow" w:hAnsi="Arial Narrow"/>
                <w:sz w:val="22"/>
                <w:szCs w:val="22"/>
              </w:rPr>
              <w:t>powierzenie grantu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do dnia, w którym zostanie złożony wniosek o płatność ostateczną. Jeśli </w:t>
            </w:r>
            <w:r w:rsidR="008D271F" w:rsidRPr="00644F20">
              <w:rPr>
                <w:rFonts w:ascii="Arial Narrow" w:hAnsi="Arial Narrow"/>
                <w:sz w:val="22"/>
                <w:szCs w:val="22"/>
              </w:rPr>
              <w:t>zadanie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D271F" w:rsidRPr="00644F20">
              <w:rPr>
                <w:rFonts w:ascii="Arial Narrow" w:hAnsi="Arial Narrow"/>
                <w:sz w:val="22"/>
                <w:szCs w:val="22"/>
              </w:rPr>
              <w:t>będzie realizowane</w:t>
            </w:r>
            <w:r w:rsidR="001341D1" w:rsidRPr="00644F20">
              <w:rPr>
                <w:rFonts w:ascii="Arial Narrow" w:hAnsi="Arial Narrow"/>
                <w:sz w:val="22"/>
                <w:szCs w:val="22"/>
              </w:rPr>
              <w:t xml:space="preserve"> dłużej niż przez 3 pełne miesiące</w:t>
            </w:r>
            <w:r w:rsidRPr="00644F20">
              <w:rPr>
                <w:rFonts w:ascii="Arial Narrow" w:hAnsi="Arial Narrow"/>
                <w:sz w:val="22"/>
                <w:szCs w:val="22"/>
              </w:rPr>
              <w:t xml:space="preserve"> liczone od dnia podpisania umowy, </w:t>
            </w:r>
            <w:r w:rsidR="001341D1" w:rsidRPr="00644F20">
              <w:rPr>
                <w:rFonts w:ascii="Arial Narrow" w:hAnsi="Arial Narrow"/>
                <w:sz w:val="22"/>
                <w:szCs w:val="22"/>
              </w:rPr>
              <w:t>W</w:t>
            </w:r>
            <w:r w:rsidRPr="00644F20">
              <w:rPr>
                <w:rFonts w:ascii="Arial Narrow" w:hAnsi="Arial Narrow"/>
                <w:sz w:val="22"/>
                <w:szCs w:val="22"/>
              </w:rPr>
              <w:t>nioskodawca otrzyma 0 punktów.</w:t>
            </w:r>
            <w:r w:rsidR="001341D1" w:rsidRPr="00644F20">
              <w:rPr>
                <w:rFonts w:ascii="Arial Narrow" w:hAnsi="Arial Narrow"/>
                <w:sz w:val="22"/>
                <w:szCs w:val="22"/>
              </w:rPr>
              <w:t xml:space="preserve"> Realizacja </w:t>
            </w:r>
            <w:r w:rsidR="008D271F" w:rsidRPr="00644F20">
              <w:rPr>
                <w:rFonts w:ascii="Arial Narrow" w:hAnsi="Arial Narrow"/>
                <w:sz w:val="22"/>
                <w:szCs w:val="22"/>
              </w:rPr>
              <w:t>zadania</w:t>
            </w:r>
            <w:r w:rsidR="001341D1" w:rsidRPr="00644F20">
              <w:rPr>
                <w:rFonts w:ascii="Arial Narrow" w:hAnsi="Arial Narrow"/>
                <w:sz w:val="22"/>
                <w:szCs w:val="22"/>
              </w:rPr>
              <w:t xml:space="preserve"> w terminie do 3 miesięcy, licząc od dnia podpi</w:t>
            </w:r>
            <w:r w:rsidR="00644F20" w:rsidRPr="00644F20">
              <w:rPr>
                <w:rFonts w:ascii="Arial Narrow" w:hAnsi="Arial Narrow"/>
                <w:sz w:val="22"/>
                <w:szCs w:val="22"/>
              </w:rPr>
              <w:t>sania umowy, umożliwi uzyskanie</w:t>
            </w:r>
            <w:r w:rsidR="008D271F" w:rsidRPr="00644F20">
              <w:rPr>
                <w:rFonts w:ascii="Arial Narrow" w:hAnsi="Arial Narrow"/>
                <w:sz w:val="22"/>
                <w:szCs w:val="22"/>
              </w:rPr>
              <w:t xml:space="preserve"> 6</w:t>
            </w:r>
            <w:r w:rsidR="001341D1" w:rsidRPr="00644F20">
              <w:rPr>
                <w:rFonts w:ascii="Arial Narrow" w:hAnsi="Arial Narrow"/>
                <w:sz w:val="22"/>
                <w:szCs w:val="22"/>
              </w:rPr>
              <w:t xml:space="preserve"> punktów.</w:t>
            </w:r>
          </w:p>
        </w:tc>
      </w:tr>
      <w:tr w:rsidR="00644F20" w:rsidRPr="00644F20" w:rsidTr="00513EE7">
        <w:tblPrEx>
          <w:jc w:val="left"/>
        </w:tblPrEx>
        <w:trPr>
          <w:cantSplit/>
          <w:trHeight w:val="2392"/>
        </w:trPr>
        <w:tc>
          <w:tcPr>
            <w:tcW w:w="312" w:type="dxa"/>
            <w:vMerge/>
            <w:shd w:val="clear" w:color="auto" w:fill="auto"/>
            <w:vAlign w:val="center"/>
          </w:tcPr>
          <w:p w:rsidR="00C82F0E" w:rsidRPr="00644F20" w:rsidRDefault="00C82F0E" w:rsidP="002F6BFE">
            <w:pPr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82F0E" w:rsidRPr="00644F20" w:rsidRDefault="00C82F0E" w:rsidP="002F6BF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82F0E" w:rsidRPr="00644F20" w:rsidRDefault="000C569F" w:rsidP="00C82F0E">
            <w:pPr>
              <w:rPr>
                <w:rFonts w:ascii="Arial Narrow" w:hAnsi="Arial Narrow"/>
                <w:sz w:val="20"/>
              </w:rPr>
            </w:pPr>
            <w:r w:rsidRPr="00644F20">
              <w:rPr>
                <w:rFonts w:ascii="Arial Narrow" w:hAnsi="Arial Narrow"/>
                <w:sz w:val="20"/>
              </w:rPr>
              <w:t>powyżej 3 miesięcy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C82F0E" w:rsidRPr="00644F20" w:rsidRDefault="001341D1" w:rsidP="001341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4F20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Merge/>
            <w:shd w:val="clear" w:color="auto" w:fill="auto"/>
            <w:vAlign w:val="center"/>
          </w:tcPr>
          <w:p w:rsidR="00C82F0E" w:rsidRPr="00644F20" w:rsidRDefault="00C82F0E" w:rsidP="00C82F0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shd w:val="clear" w:color="auto" w:fill="auto"/>
            <w:vAlign w:val="center"/>
          </w:tcPr>
          <w:p w:rsidR="00C82F0E" w:rsidRPr="00644F20" w:rsidRDefault="00C82F0E" w:rsidP="00C82F0E">
            <w:pPr>
              <w:jc w:val="both"/>
              <w:rPr>
                <w:rFonts w:ascii="Arial Narrow" w:hAnsi="Arial Narrow"/>
              </w:rPr>
            </w:pPr>
          </w:p>
        </w:tc>
      </w:tr>
    </w:tbl>
    <w:p w:rsidR="006D2D4B" w:rsidRPr="00644F20" w:rsidRDefault="006D2D4B">
      <w:pPr>
        <w:rPr>
          <w:rFonts w:ascii="Arial Narrow" w:hAnsi="Arial Narrow"/>
          <w:sz w:val="22"/>
          <w:szCs w:val="22"/>
        </w:rPr>
      </w:pPr>
    </w:p>
    <w:p w:rsidR="006D2D4B" w:rsidRPr="00644F20" w:rsidRDefault="006D2D4B">
      <w:pPr>
        <w:rPr>
          <w:rFonts w:ascii="Arial Narrow" w:hAnsi="Arial Narrow"/>
          <w:sz w:val="22"/>
          <w:szCs w:val="22"/>
        </w:rPr>
      </w:pPr>
    </w:p>
    <w:p w:rsidR="001E3EF1" w:rsidRPr="00644F20" w:rsidRDefault="001E3EF1" w:rsidP="00351C2E">
      <w:pPr>
        <w:rPr>
          <w:rFonts w:ascii="Arial Narrow" w:hAnsi="Arial Narrow"/>
          <w:sz w:val="22"/>
          <w:szCs w:val="22"/>
        </w:rPr>
      </w:pPr>
    </w:p>
    <w:sectPr w:rsidR="001E3EF1" w:rsidRPr="00644F20" w:rsidSect="00754F1F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6A4"/>
    <w:multiLevelType w:val="hybridMultilevel"/>
    <w:tmpl w:val="3280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14AFE"/>
    <w:multiLevelType w:val="hybridMultilevel"/>
    <w:tmpl w:val="6B808346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C2E05"/>
    <w:multiLevelType w:val="hybridMultilevel"/>
    <w:tmpl w:val="61A095A2"/>
    <w:lvl w:ilvl="0" w:tplc="F1841E1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5FD2"/>
    <w:multiLevelType w:val="hybridMultilevel"/>
    <w:tmpl w:val="E66C3CA2"/>
    <w:lvl w:ilvl="0" w:tplc="19180DB6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8E105D"/>
    <w:multiLevelType w:val="hybridMultilevel"/>
    <w:tmpl w:val="ED46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1F2"/>
    <w:multiLevelType w:val="hybridMultilevel"/>
    <w:tmpl w:val="A7CCAD66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E0F2C"/>
    <w:multiLevelType w:val="hybridMultilevel"/>
    <w:tmpl w:val="67A49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74888"/>
    <w:multiLevelType w:val="hybridMultilevel"/>
    <w:tmpl w:val="93FC9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66409"/>
    <w:multiLevelType w:val="hybridMultilevel"/>
    <w:tmpl w:val="107CB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61E02"/>
    <w:multiLevelType w:val="hybridMultilevel"/>
    <w:tmpl w:val="A0348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07BA"/>
    <w:multiLevelType w:val="hybridMultilevel"/>
    <w:tmpl w:val="430A5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73755"/>
    <w:multiLevelType w:val="hybridMultilevel"/>
    <w:tmpl w:val="6A2EF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870C5"/>
    <w:multiLevelType w:val="hybridMultilevel"/>
    <w:tmpl w:val="FA7C2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473F5"/>
    <w:multiLevelType w:val="hybridMultilevel"/>
    <w:tmpl w:val="B7D60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A6839"/>
    <w:multiLevelType w:val="hybridMultilevel"/>
    <w:tmpl w:val="267CBC9E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3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4"/>
  </w:num>
  <w:num w:numId="10">
    <w:abstractNumId w:val="0"/>
  </w:num>
  <w:num w:numId="11">
    <w:abstractNumId w:val="9"/>
  </w:num>
  <w:num w:numId="12">
    <w:abstractNumId w:val="1"/>
  </w:num>
  <w:num w:numId="13">
    <w:abstractNumId w:val="8"/>
  </w:num>
  <w:num w:numId="14">
    <w:abstractNumId w:val="12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36E5"/>
    <w:rsid w:val="00004B7C"/>
    <w:rsid w:val="00013825"/>
    <w:rsid w:val="00015560"/>
    <w:rsid w:val="00015C1E"/>
    <w:rsid w:val="00020A4D"/>
    <w:rsid w:val="00026DA1"/>
    <w:rsid w:val="00045433"/>
    <w:rsid w:val="00052068"/>
    <w:rsid w:val="00054840"/>
    <w:rsid w:val="00073367"/>
    <w:rsid w:val="00076D80"/>
    <w:rsid w:val="0008131D"/>
    <w:rsid w:val="0008254F"/>
    <w:rsid w:val="00096E5C"/>
    <w:rsid w:val="000A4465"/>
    <w:rsid w:val="000B17AB"/>
    <w:rsid w:val="000B64F2"/>
    <w:rsid w:val="000C0EB4"/>
    <w:rsid w:val="000C569F"/>
    <w:rsid w:val="000D08CE"/>
    <w:rsid w:val="000D5BE7"/>
    <w:rsid w:val="000E2FEF"/>
    <w:rsid w:val="000F1C53"/>
    <w:rsid w:val="001005BB"/>
    <w:rsid w:val="00100E34"/>
    <w:rsid w:val="001047EE"/>
    <w:rsid w:val="00127AED"/>
    <w:rsid w:val="001324D5"/>
    <w:rsid w:val="001341D1"/>
    <w:rsid w:val="00140CE1"/>
    <w:rsid w:val="0014683A"/>
    <w:rsid w:val="00147688"/>
    <w:rsid w:val="00150925"/>
    <w:rsid w:val="00156C7E"/>
    <w:rsid w:val="00162C19"/>
    <w:rsid w:val="00172EE2"/>
    <w:rsid w:val="0017365B"/>
    <w:rsid w:val="00174752"/>
    <w:rsid w:val="001751A2"/>
    <w:rsid w:val="00176394"/>
    <w:rsid w:val="00177C01"/>
    <w:rsid w:val="00177C82"/>
    <w:rsid w:val="00184759"/>
    <w:rsid w:val="00186B24"/>
    <w:rsid w:val="00192AF8"/>
    <w:rsid w:val="001A114D"/>
    <w:rsid w:val="001A1EB9"/>
    <w:rsid w:val="001B7B88"/>
    <w:rsid w:val="001C48AD"/>
    <w:rsid w:val="001C5F06"/>
    <w:rsid w:val="001D588D"/>
    <w:rsid w:val="001D6151"/>
    <w:rsid w:val="001D6B4B"/>
    <w:rsid w:val="001D7B8A"/>
    <w:rsid w:val="001E3EF1"/>
    <w:rsid w:val="002004EB"/>
    <w:rsid w:val="002106E8"/>
    <w:rsid w:val="00216E4C"/>
    <w:rsid w:val="0022506B"/>
    <w:rsid w:val="002253A2"/>
    <w:rsid w:val="002334F4"/>
    <w:rsid w:val="00250E14"/>
    <w:rsid w:val="00253149"/>
    <w:rsid w:val="00255F58"/>
    <w:rsid w:val="00260A2B"/>
    <w:rsid w:val="00280E8B"/>
    <w:rsid w:val="00286D2B"/>
    <w:rsid w:val="00291CF8"/>
    <w:rsid w:val="00293D16"/>
    <w:rsid w:val="00296EF1"/>
    <w:rsid w:val="00297C9C"/>
    <w:rsid w:val="002A21AE"/>
    <w:rsid w:val="002B13E4"/>
    <w:rsid w:val="002C5DE2"/>
    <w:rsid w:val="002D1B61"/>
    <w:rsid w:val="002D23B2"/>
    <w:rsid w:val="002D7716"/>
    <w:rsid w:val="002D7B2E"/>
    <w:rsid w:val="002E350B"/>
    <w:rsid w:val="00302AA1"/>
    <w:rsid w:val="00304870"/>
    <w:rsid w:val="0031433C"/>
    <w:rsid w:val="003158B0"/>
    <w:rsid w:val="003256D4"/>
    <w:rsid w:val="00325C5F"/>
    <w:rsid w:val="00330F42"/>
    <w:rsid w:val="0033122E"/>
    <w:rsid w:val="00334829"/>
    <w:rsid w:val="00337B46"/>
    <w:rsid w:val="00344B81"/>
    <w:rsid w:val="00351C2E"/>
    <w:rsid w:val="00356AFE"/>
    <w:rsid w:val="0035790D"/>
    <w:rsid w:val="00360AD7"/>
    <w:rsid w:val="00360AE5"/>
    <w:rsid w:val="00363E2E"/>
    <w:rsid w:val="003648BC"/>
    <w:rsid w:val="003655E6"/>
    <w:rsid w:val="00371893"/>
    <w:rsid w:val="00375BB4"/>
    <w:rsid w:val="003763C8"/>
    <w:rsid w:val="003832E8"/>
    <w:rsid w:val="003850BA"/>
    <w:rsid w:val="0039200D"/>
    <w:rsid w:val="0039391E"/>
    <w:rsid w:val="00394F47"/>
    <w:rsid w:val="00395AD5"/>
    <w:rsid w:val="0039605C"/>
    <w:rsid w:val="00397CF0"/>
    <w:rsid w:val="003A5855"/>
    <w:rsid w:val="003C72B1"/>
    <w:rsid w:val="003D20B3"/>
    <w:rsid w:val="003D2DCC"/>
    <w:rsid w:val="003D4022"/>
    <w:rsid w:val="003E01D3"/>
    <w:rsid w:val="003F235B"/>
    <w:rsid w:val="003F29F0"/>
    <w:rsid w:val="003F5CDB"/>
    <w:rsid w:val="003F7E98"/>
    <w:rsid w:val="0040304F"/>
    <w:rsid w:val="0040464D"/>
    <w:rsid w:val="00406FFD"/>
    <w:rsid w:val="0041112D"/>
    <w:rsid w:val="0041393E"/>
    <w:rsid w:val="00416D59"/>
    <w:rsid w:val="0042328D"/>
    <w:rsid w:val="00424A21"/>
    <w:rsid w:val="004302A2"/>
    <w:rsid w:val="004308AE"/>
    <w:rsid w:val="00431E7A"/>
    <w:rsid w:val="00435DB9"/>
    <w:rsid w:val="004371F4"/>
    <w:rsid w:val="00443EAB"/>
    <w:rsid w:val="00446F3F"/>
    <w:rsid w:val="00456079"/>
    <w:rsid w:val="00456CCD"/>
    <w:rsid w:val="004656C2"/>
    <w:rsid w:val="00466028"/>
    <w:rsid w:val="00467138"/>
    <w:rsid w:val="00475F6C"/>
    <w:rsid w:val="00485211"/>
    <w:rsid w:val="00492F09"/>
    <w:rsid w:val="004A3731"/>
    <w:rsid w:val="004A3E4A"/>
    <w:rsid w:val="004A5332"/>
    <w:rsid w:val="004A6312"/>
    <w:rsid w:val="004C36C3"/>
    <w:rsid w:val="004C5568"/>
    <w:rsid w:val="004C7D53"/>
    <w:rsid w:val="004D0043"/>
    <w:rsid w:val="004D448D"/>
    <w:rsid w:val="004E0148"/>
    <w:rsid w:val="004E202C"/>
    <w:rsid w:val="004E43B7"/>
    <w:rsid w:val="004E6F41"/>
    <w:rsid w:val="004F1237"/>
    <w:rsid w:val="0051030A"/>
    <w:rsid w:val="0051065A"/>
    <w:rsid w:val="00511636"/>
    <w:rsid w:val="00512262"/>
    <w:rsid w:val="00513EE7"/>
    <w:rsid w:val="00532A4B"/>
    <w:rsid w:val="00533562"/>
    <w:rsid w:val="0053773A"/>
    <w:rsid w:val="0055208F"/>
    <w:rsid w:val="00563EA8"/>
    <w:rsid w:val="005666CA"/>
    <w:rsid w:val="0057035D"/>
    <w:rsid w:val="00571657"/>
    <w:rsid w:val="00571DEA"/>
    <w:rsid w:val="005817AC"/>
    <w:rsid w:val="00584D9A"/>
    <w:rsid w:val="0058741D"/>
    <w:rsid w:val="00596B35"/>
    <w:rsid w:val="005A2AE4"/>
    <w:rsid w:val="005A51F5"/>
    <w:rsid w:val="005B1846"/>
    <w:rsid w:val="005B198D"/>
    <w:rsid w:val="005B48AE"/>
    <w:rsid w:val="005B72E2"/>
    <w:rsid w:val="005C1C24"/>
    <w:rsid w:val="005C4284"/>
    <w:rsid w:val="005C6089"/>
    <w:rsid w:val="005D1A8D"/>
    <w:rsid w:val="005E241B"/>
    <w:rsid w:val="005E6611"/>
    <w:rsid w:val="005F75A5"/>
    <w:rsid w:val="006104A4"/>
    <w:rsid w:val="00615FB0"/>
    <w:rsid w:val="006236E1"/>
    <w:rsid w:val="00632729"/>
    <w:rsid w:val="006436E5"/>
    <w:rsid w:val="00644F20"/>
    <w:rsid w:val="006546C1"/>
    <w:rsid w:val="00672D82"/>
    <w:rsid w:val="00683006"/>
    <w:rsid w:val="006867DB"/>
    <w:rsid w:val="006965A0"/>
    <w:rsid w:val="006A31B2"/>
    <w:rsid w:val="006D1E6F"/>
    <w:rsid w:val="006D2D4B"/>
    <w:rsid w:val="006E42E5"/>
    <w:rsid w:val="006F30E0"/>
    <w:rsid w:val="006F7390"/>
    <w:rsid w:val="006F77BE"/>
    <w:rsid w:val="00700FD0"/>
    <w:rsid w:val="00714FFD"/>
    <w:rsid w:val="00722944"/>
    <w:rsid w:val="00724A1B"/>
    <w:rsid w:val="007275D8"/>
    <w:rsid w:val="00732FCD"/>
    <w:rsid w:val="00733FE8"/>
    <w:rsid w:val="00737D7D"/>
    <w:rsid w:val="00741C00"/>
    <w:rsid w:val="00746694"/>
    <w:rsid w:val="0075109B"/>
    <w:rsid w:val="00754F1F"/>
    <w:rsid w:val="00760C19"/>
    <w:rsid w:val="00762626"/>
    <w:rsid w:val="007720A9"/>
    <w:rsid w:val="00773910"/>
    <w:rsid w:val="00775FF0"/>
    <w:rsid w:val="00781AC4"/>
    <w:rsid w:val="007823C4"/>
    <w:rsid w:val="007826A1"/>
    <w:rsid w:val="00785910"/>
    <w:rsid w:val="0078753E"/>
    <w:rsid w:val="00790D3F"/>
    <w:rsid w:val="007934DA"/>
    <w:rsid w:val="00793759"/>
    <w:rsid w:val="00794F1E"/>
    <w:rsid w:val="007A1621"/>
    <w:rsid w:val="007B161E"/>
    <w:rsid w:val="007B1665"/>
    <w:rsid w:val="007B614C"/>
    <w:rsid w:val="007C4C02"/>
    <w:rsid w:val="007D0BB7"/>
    <w:rsid w:val="007D0F6A"/>
    <w:rsid w:val="007D62A7"/>
    <w:rsid w:val="007E48D7"/>
    <w:rsid w:val="007F123C"/>
    <w:rsid w:val="007F345F"/>
    <w:rsid w:val="00805707"/>
    <w:rsid w:val="008059AA"/>
    <w:rsid w:val="008063B5"/>
    <w:rsid w:val="00814FF5"/>
    <w:rsid w:val="00817772"/>
    <w:rsid w:val="00826230"/>
    <w:rsid w:val="00844C79"/>
    <w:rsid w:val="00853363"/>
    <w:rsid w:val="008533C1"/>
    <w:rsid w:val="00871436"/>
    <w:rsid w:val="00873161"/>
    <w:rsid w:val="0087666D"/>
    <w:rsid w:val="008844B0"/>
    <w:rsid w:val="008870AE"/>
    <w:rsid w:val="0088744C"/>
    <w:rsid w:val="00887816"/>
    <w:rsid w:val="00891E61"/>
    <w:rsid w:val="008945CD"/>
    <w:rsid w:val="00894763"/>
    <w:rsid w:val="00896419"/>
    <w:rsid w:val="008A073E"/>
    <w:rsid w:val="008A37F4"/>
    <w:rsid w:val="008B2414"/>
    <w:rsid w:val="008B5D20"/>
    <w:rsid w:val="008B7844"/>
    <w:rsid w:val="008D271F"/>
    <w:rsid w:val="008D4F17"/>
    <w:rsid w:val="008E2D94"/>
    <w:rsid w:val="008E7904"/>
    <w:rsid w:val="008F23A2"/>
    <w:rsid w:val="008F3960"/>
    <w:rsid w:val="009017D7"/>
    <w:rsid w:val="00905203"/>
    <w:rsid w:val="00906DAE"/>
    <w:rsid w:val="00911B0F"/>
    <w:rsid w:val="009249EB"/>
    <w:rsid w:val="00943F8E"/>
    <w:rsid w:val="00961050"/>
    <w:rsid w:val="00970117"/>
    <w:rsid w:val="009813F6"/>
    <w:rsid w:val="00981705"/>
    <w:rsid w:val="009902CD"/>
    <w:rsid w:val="00997F98"/>
    <w:rsid w:val="009B0885"/>
    <w:rsid w:val="009C1063"/>
    <w:rsid w:val="009C6031"/>
    <w:rsid w:val="009D6D01"/>
    <w:rsid w:val="009D6DCC"/>
    <w:rsid w:val="009D74A5"/>
    <w:rsid w:val="009E024A"/>
    <w:rsid w:val="009E1B2D"/>
    <w:rsid w:val="009E340A"/>
    <w:rsid w:val="009E78CD"/>
    <w:rsid w:val="00A021F8"/>
    <w:rsid w:val="00A03C7C"/>
    <w:rsid w:val="00A06ACC"/>
    <w:rsid w:val="00A0758B"/>
    <w:rsid w:val="00A22C56"/>
    <w:rsid w:val="00A35E55"/>
    <w:rsid w:val="00A37C96"/>
    <w:rsid w:val="00A40A54"/>
    <w:rsid w:val="00A41D8F"/>
    <w:rsid w:val="00A55A7C"/>
    <w:rsid w:val="00A61BE2"/>
    <w:rsid w:val="00A71510"/>
    <w:rsid w:val="00A73899"/>
    <w:rsid w:val="00A86DFF"/>
    <w:rsid w:val="00A91DE3"/>
    <w:rsid w:val="00A9512A"/>
    <w:rsid w:val="00A975C2"/>
    <w:rsid w:val="00A97BFD"/>
    <w:rsid w:val="00AA0D51"/>
    <w:rsid w:val="00AA6646"/>
    <w:rsid w:val="00AB3807"/>
    <w:rsid w:val="00AC6DCF"/>
    <w:rsid w:val="00AE01E6"/>
    <w:rsid w:val="00AE0224"/>
    <w:rsid w:val="00B013B0"/>
    <w:rsid w:val="00B106B6"/>
    <w:rsid w:val="00B12FAA"/>
    <w:rsid w:val="00B354EF"/>
    <w:rsid w:val="00B37C54"/>
    <w:rsid w:val="00B46193"/>
    <w:rsid w:val="00B50DAF"/>
    <w:rsid w:val="00B54551"/>
    <w:rsid w:val="00B56AB2"/>
    <w:rsid w:val="00B61BB3"/>
    <w:rsid w:val="00B62423"/>
    <w:rsid w:val="00B62DC2"/>
    <w:rsid w:val="00B6494C"/>
    <w:rsid w:val="00B64A14"/>
    <w:rsid w:val="00B66CCC"/>
    <w:rsid w:val="00B704F7"/>
    <w:rsid w:val="00B77EB1"/>
    <w:rsid w:val="00B830DF"/>
    <w:rsid w:val="00B8600D"/>
    <w:rsid w:val="00B87392"/>
    <w:rsid w:val="00BA0922"/>
    <w:rsid w:val="00BA4539"/>
    <w:rsid w:val="00BC2699"/>
    <w:rsid w:val="00BC4582"/>
    <w:rsid w:val="00BC7BE6"/>
    <w:rsid w:val="00BC7D07"/>
    <w:rsid w:val="00BD0E69"/>
    <w:rsid w:val="00BD5D74"/>
    <w:rsid w:val="00C03180"/>
    <w:rsid w:val="00C04E25"/>
    <w:rsid w:val="00C13DE1"/>
    <w:rsid w:val="00C2223F"/>
    <w:rsid w:val="00C23B75"/>
    <w:rsid w:val="00C308B3"/>
    <w:rsid w:val="00C4223A"/>
    <w:rsid w:val="00C6289D"/>
    <w:rsid w:val="00C7097D"/>
    <w:rsid w:val="00C70E97"/>
    <w:rsid w:val="00C7104C"/>
    <w:rsid w:val="00C774F3"/>
    <w:rsid w:val="00C8171B"/>
    <w:rsid w:val="00C82F0E"/>
    <w:rsid w:val="00C87684"/>
    <w:rsid w:val="00C915BF"/>
    <w:rsid w:val="00C91E03"/>
    <w:rsid w:val="00C93F2F"/>
    <w:rsid w:val="00CB435D"/>
    <w:rsid w:val="00CC08EE"/>
    <w:rsid w:val="00CC0C76"/>
    <w:rsid w:val="00CC3982"/>
    <w:rsid w:val="00CC58E4"/>
    <w:rsid w:val="00CC7DF1"/>
    <w:rsid w:val="00CD5257"/>
    <w:rsid w:val="00CD5329"/>
    <w:rsid w:val="00CD7BA9"/>
    <w:rsid w:val="00CF01F7"/>
    <w:rsid w:val="00CF1225"/>
    <w:rsid w:val="00CF70EE"/>
    <w:rsid w:val="00D0520E"/>
    <w:rsid w:val="00D0738C"/>
    <w:rsid w:val="00D121A1"/>
    <w:rsid w:val="00D22366"/>
    <w:rsid w:val="00D236E0"/>
    <w:rsid w:val="00D2669C"/>
    <w:rsid w:val="00D34AEE"/>
    <w:rsid w:val="00D42BFB"/>
    <w:rsid w:val="00D42C47"/>
    <w:rsid w:val="00D43996"/>
    <w:rsid w:val="00D5001D"/>
    <w:rsid w:val="00D728FC"/>
    <w:rsid w:val="00D90794"/>
    <w:rsid w:val="00D9278E"/>
    <w:rsid w:val="00D96D25"/>
    <w:rsid w:val="00DB360E"/>
    <w:rsid w:val="00DB6859"/>
    <w:rsid w:val="00DC2CCD"/>
    <w:rsid w:val="00DC2E77"/>
    <w:rsid w:val="00DC35FA"/>
    <w:rsid w:val="00DC39D5"/>
    <w:rsid w:val="00DC68BE"/>
    <w:rsid w:val="00DD2263"/>
    <w:rsid w:val="00DD2A61"/>
    <w:rsid w:val="00DD331A"/>
    <w:rsid w:val="00DD4287"/>
    <w:rsid w:val="00DD5CBB"/>
    <w:rsid w:val="00DE3455"/>
    <w:rsid w:val="00DE34A6"/>
    <w:rsid w:val="00DE7ED3"/>
    <w:rsid w:val="00DF107F"/>
    <w:rsid w:val="00DF7798"/>
    <w:rsid w:val="00E03BAA"/>
    <w:rsid w:val="00E12EFF"/>
    <w:rsid w:val="00E17F15"/>
    <w:rsid w:val="00E257C2"/>
    <w:rsid w:val="00E26F34"/>
    <w:rsid w:val="00E356B9"/>
    <w:rsid w:val="00E4020F"/>
    <w:rsid w:val="00E46DD4"/>
    <w:rsid w:val="00E52582"/>
    <w:rsid w:val="00E55FDA"/>
    <w:rsid w:val="00E56EB8"/>
    <w:rsid w:val="00E6178A"/>
    <w:rsid w:val="00E70EFD"/>
    <w:rsid w:val="00E76CFB"/>
    <w:rsid w:val="00E81941"/>
    <w:rsid w:val="00E821E6"/>
    <w:rsid w:val="00E8227C"/>
    <w:rsid w:val="00E84631"/>
    <w:rsid w:val="00E87E46"/>
    <w:rsid w:val="00E87F4F"/>
    <w:rsid w:val="00E91D01"/>
    <w:rsid w:val="00EA5C30"/>
    <w:rsid w:val="00ED7821"/>
    <w:rsid w:val="00EE148E"/>
    <w:rsid w:val="00EE14EE"/>
    <w:rsid w:val="00EF12DE"/>
    <w:rsid w:val="00F02CCA"/>
    <w:rsid w:val="00F14011"/>
    <w:rsid w:val="00F17840"/>
    <w:rsid w:val="00F24E15"/>
    <w:rsid w:val="00F308D2"/>
    <w:rsid w:val="00F33325"/>
    <w:rsid w:val="00F36D5C"/>
    <w:rsid w:val="00F37738"/>
    <w:rsid w:val="00F46092"/>
    <w:rsid w:val="00F51A2A"/>
    <w:rsid w:val="00F52CE0"/>
    <w:rsid w:val="00F53DCE"/>
    <w:rsid w:val="00F55D7E"/>
    <w:rsid w:val="00F64D86"/>
    <w:rsid w:val="00F8422D"/>
    <w:rsid w:val="00F93578"/>
    <w:rsid w:val="00F957CE"/>
    <w:rsid w:val="00F97C00"/>
    <w:rsid w:val="00FA39F3"/>
    <w:rsid w:val="00FB164A"/>
    <w:rsid w:val="00FC0F30"/>
    <w:rsid w:val="00FD3669"/>
    <w:rsid w:val="00FD3C80"/>
    <w:rsid w:val="00FD4F4B"/>
    <w:rsid w:val="00FD58DD"/>
    <w:rsid w:val="00FD5BE2"/>
    <w:rsid w:val="00FD74F8"/>
    <w:rsid w:val="00FF2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EA3755C-B0E2-4AA7-8409-60CA2286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7816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6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96B3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8781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56CC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1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1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Obszar_zabudowany" TargetMode="External"/><Relationship Id="rId3" Type="http://schemas.openxmlformats.org/officeDocument/2006/relationships/styles" Target="styles.xml"/><Relationship Id="rId7" Type="http://schemas.openxmlformats.org/officeDocument/2006/relationships/hyperlink" Target="https://pl.wikipedia.org/wiki/Jednostka_osadnic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pl/map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5E5A-8E5C-4CE9-AF4A-ACF9CF54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7</Pages>
  <Words>2595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Stanowisko-PC3</cp:lastModifiedBy>
  <cp:revision>412</cp:revision>
  <cp:lastPrinted>2017-06-28T10:22:00Z</cp:lastPrinted>
  <dcterms:created xsi:type="dcterms:W3CDTF">2013-04-18T08:51:00Z</dcterms:created>
  <dcterms:modified xsi:type="dcterms:W3CDTF">2017-11-02T09:49:00Z</dcterms:modified>
</cp:coreProperties>
</file>